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FFE7D" w14:textId="03157D45" w:rsidR="000977AC" w:rsidRPr="004C5A4C" w:rsidRDefault="004C5A4C" w:rsidP="000977AC">
      <w:pPr>
        <w:jc w:val="center"/>
        <w:rPr>
          <w:rFonts w:ascii="Arial Narrow" w:hAnsi="Arial Narrow"/>
          <w:b/>
          <w:bCs/>
        </w:rPr>
      </w:pPr>
      <w:r>
        <w:rPr>
          <w:rFonts w:ascii="Arial Narrow" w:hAnsi="Arial Narrow"/>
          <w:b/>
          <w:bCs/>
        </w:rPr>
        <w:t xml:space="preserve">INSUMO MANDAMIENTO DE PAGO </w:t>
      </w:r>
      <w:r w:rsidR="009079C9" w:rsidRPr="009079C9">
        <w:rPr>
          <w:rFonts w:ascii="Arial Narrow" w:hAnsi="Arial Narrow"/>
          <w:b/>
          <w:bCs/>
        </w:rPr>
        <w:t>HERNAN RAFAEL ORTIZ CONTRERAS</w:t>
      </w:r>
    </w:p>
    <w:p w14:paraId="5600C187" w14:textId="77777777" w:rsidR="00BE25FA" w:rsidRDefault="00BE25FA" w:rsidP="00BE25FA">
      <w:pPr>
        <w:pStyle w:val="Prrafodelista"/>
        <w:numPr>
          <w:ilvl w:val="0"/>
          <w:numId w:val="11"/>
        </w:numPr>
        <w:suppressAutoHyphens/>
        <w:autoSpaceDN w:val="0"/>
        <w:spacing w:after="0" w:line="240" w:lineRule="auto"/>
        <w:contextualSpacing w:val="0"/>
        <w:jc w:val="both"/>
        <w:rPr>
          <w:rFonts w:ascii="Arial Narrow" w:hAnsi="Arial Narrow" w:cs="Arial"/>
          <w:b/>
        </w:rPr>
      </w:pPr>
      <w:bookmarkStart w:id="0" w:name="_Hlk134594546"/>
      <w:r>
        <w:rPr>
          <w:rFonts w:ascii="Arial Narrow" w:hAnsi="Arial Narrow" w:cs="Arial"/>
          <w:b/>
        </w:rPr>
        <w:t>De la actuación procesal:</w:t>
      </w:r>
    </w:p>
    <w:p w14:paraId="0661422D" w14:textId="77777777" w:rsidR="00BA0FF7" w:rsidRDefault="00BA0FF7" w:rsidP="00BE25FA">
      <w:pPr>
        <w:jc w:val="both"/>
        <w:rPr>
          <w:rFonts w:ascii="Arial Narrow" w:hAnsi="Arial Narrow" w:cs="Arial"/>
        </w:rPr>
      </w:pPr>
    </w:p>
    <w:p w14:paraId="5FE263F3" w14:textId="4520FF1C" w:rsidR="00A41663" w:rsidRDefault="004C5A4C" w:rsidP="009079C9">
      <w:pPr>
        <w:jc w:val="both"/>
        <w:rPr>
          <w:rFonts w:ascii="Arial Narrow" w:hAnsi="Arial Narrow" w:cs="Arial"/>
        </w:rPr>
      </w:pPr>
      <w:r>
        <w:rPr>
          <w:rFonts w:ascii="Arial Narrow" w:hAnsi="Arial Narrow" w:cs="Arial"/>
        </w:rPr>
        <w:t>Una vez en firme y ejecutoriada</w:t>
      </w:r>
      <w:r w:rsidR="00D72167">
        <w:rPr>
          <w:rFonts w:ascii="Arial Narrow" w:hAnsi="Arial Narrow" w:cs="Arial"/>
        </w:rPr>
        <w:t>s</w:t>
      </w:r>
      <w:r>
        <w:rPr>
          <w:rFonts w:ascii="Arial Narrow" w:hAnsi="Arial Narrow" w:cs="Arial"/>
        </w:rPr>
        <w:t xml:space="preserve"> la</w:t>
      </w:r>
      <w:r w:rsidR="00D72167">
        <w:rPr>
          <w:rFonts w:ascii="Arial Narrow" w:hAnsi="Arial Narrow" w:cs="Arial"/>
        </w:rPr>
        <w:t>s</w:t>
      </w:r>
      <w:r>
        <w:rPr>
          <w:rFonts w:ascii="Arial Narrow" w:hAnsi="Arial Narrow" w:cs="Arial"/>
        </w:rPr>
        <w:t xml:space="preserve"> </w:t>
      </w:r>
      <w:r w:rsidR="00A41663">
        <w:rPr>
          <w:rFonts w:ascii="Arial Narrow" w:hAnsi="Arial Narrow" w:cs="Arial"/>
        </w:rPr>
        <w:t xml:space="preserve"> </w:t>
      </w:r>
      <w:r w:rsidR="00174D8E">
        <w:rPr>
          <w:rFonts w:ascii="Arial Narrow" w:hAnsi="Arial Narrow" w:cs="Arial"/>
        </w:rPr>
        <w:t>Resoluci</w:t>
      </w:r>
      <w:r w:rsidR="00D72167">
        <w:rPr>
          <w:rFonts w:ascii="Arial Narrow" w:hAnsi="Arial Narrow" w:cs="Arial"/>
        </w:rPr>
        <w:t>ones</w:t>
      </w:r>
      <w:r w:rsidR="00A41663">
        <w:rPr>
          <w:rFonts w:ascii="Arial Narrow" w:hAnsi="Arial Narrow" w:cs="Arial"/>
        </w:rPr>
        <w:t xml:space="preserve"> </w:t>
      </w:r>
      <w:r w:rsidR="009079C9" w:rsidRPr="009079C9">
        <w:rPr>
          <w:rFonts w:ascii="Arial Narrow" w:hAnsi="Arial Narrow" w:cs="Arial"/>
          <w:b/>
          <w:bCs/>
        </w:rPr>
        <w:t>41368 de fecha 28 de octubre de 2019</w:t>
      </w:r>
      <w:r w:rsidR="009079C9">
        <w:rPr>
          <w:rFonts w:ascii="Arial Narrow" w:hAnsi="Arial Narrow" w:cs="Arial"/>
          <w:b/>
          <w:bCs/>
        </w:rPr>
        <w:t xml:space="preserve"> </w:t>
      </w:r>
      <w:r w:rsidR="00D72167">
        <w:rPr>
          <w:rFonts w:ascii="Arial Narrow" w:hAnsi="Arial Narrow" w:cs="Arial"/>
          <w:b/>
          <w:bCs/>
        </w:rPr>
        <w:t xml:space="preserve">y </w:t>
      </w:r>
      <w:r w:rsidR="009079C9" w:rsidRPr="009079C9">
        <w:rPr>
          <w:rFonts w:ascii="Arial Narrow" w:hAnsi="Arial Narrow" w:cs="Arial"/>
          <w:b/>
          <w:bCs/>
        </w:rPr>
        <w:t xml:space="preserve">36326 </w:t>
      </w:r>
      <w:r w:rsidR="00D72167" w:rsidRPr="00D72167">
        <w:rPr>
          <w:rFonts w:ascii="Arial Narrow" w:hAnsi="Arial Narrow" w:cs="Arial"/>
          <w:b/>
          <w:bCs/>
        </w:rPr>
        <w:t xml:space="preserve"> de fecha </w:t>
      </w:r>
      <w:r w:rsidR="009079C9">
        <w:rPr>
          <w:rFonts w:ascii="Arial Narrow" w:hAnsi="Arial Narrow" w:cs="Arial"/>
          <w:b/>
          <w:bCs/>
        </w:rPr>
        <w:t>18 de abril</w:t>
      </w:r>
      <w:r w:rsidR="00D72167" w:rsidRPr="00D72167">
        <w:rPr>
          <w:rFonts w:ascii="Arial Narrow" w:hAnsi="Arial Narrow" w:cs="Arial"/>
          <w:b/>
          <w:bCs/>
        </w:rPr>
        <w:t xml:space="preserve"> de 202</w:t>
      </w:r>
      <w:r w:rsidR="009079C9">
        <w:rPr>
          <w:rFonts w:ascii="Arial Narrow" w:hAnsi="Arial Narrow" w:cs="Arial"/>
          <w:b/>
          <w:bCs/>
        </w:rPr>
        <w:t>4</w:t>
      </w:r>
      <w:r w:rsidR="00174D8E" w:rsidRPr="00A41663">
        <w:rPr>
          <w:rFonts w:ascii="Arial Narrow" w:hAnsi="Arial Narrow" w:cs="Arial"/>
        </w:rPr>
        <w:t xml:space="preserve">, </w:t>
      </w:r>
      <w:r w:rsidR="00174D8E">
        <w:rPr>
          <w:rFonts w:ascii="Arial Narrow" w:hAnsi="Arial Narrow" w:cs="Arial"/>
        </w:rPr>
        <w:t xml:space="preserve">que </w:t>
      </w:r>
      <w:r w:rsidR="00A41663" w:rsidRPr="00A41663">
        <w:rPr>
          <w:rFonts w:ascii="Arial Narrow" w:hAnsi="Arial Narrow" w:cs="Arial"/>
        </w:rPr>
        <w:t>orden</w:t>
      </w:r>
      <w:r w:rsidR="00D72167">
        <w:rPr>
          <w:rFonts w:ascii="Arial Narrow" w:hAnsi="Arial Narrow" w:cs="Arial"/>
        </w:rPr>
        <w:t>aron</w:t>
      </w:r>
      <w:r w:rsidR="00A41663" w:rsidRPr="00A41663">
        <w:rPr>
          <w:rFonts w:ascii="Arial Narrow" w:hAnsi="Arial Narrow" w:cs="Arial"/>
        </w:rPr>
        <w:t xml:space="preserve"> el cobro en contra </w:t>
      </w:r>
      <w:r w:rsidR="009079C9">
        <w:rPr>
          <w:rFonts w:ascii="Arial Narrow" w:hAnsi="Arial Narrow" w:cs="Arial"/>
        </w:rPr>
        <w:t>del</w:t>
      </w:r>
      <w:r>
        <w:rPr>
          <w:rFonts w:ascii="Arial Narrow" w:hAnsi="Arial Narrow" w:cs="Arial"/>
        </w:rPr>
        <w:t xml:space="preserve"> señor </w:t>
      </w:r>
      <w:r w:rsidR="00A41663" w:rsidRPr="00A41663">
        <w:rPr>
          <w:rFonts w:ascii="Arial Narrow" w:hAnsi="Arial Narrow" w:cs="Arial"/>
        </w:rPr>
        <w:t xml:space="preserve"> </w:t>
      </w:r>
      <w:r w:rsidR="009079C9" w:rsidRPr="009079C9">
        <w:rPr>
          <w:rFonts w:ascii="Arial Narrow" w:hAnsi="Arial Narrow"/>
          <w:b/>
          <w:bCs/>
        </w:rPr>
        <w:t>HERNAN RAFAEL ORTIZ CONTRERAS</w:t>
      </w:r>
      <w:r w:rsidR="00A41663" w:rsidRPr="00A41663">
        <w:rPr>
          <w:rFonts w:ascii="Arial Narrow" w:hAnsi="Arial Narrow" w:cs="Arial"/>
        </w:rPr>
        <w:t>, identificad</w:t>
      </w:r>
      <w:r>
        <w:rPr>
          <w:rFonts w:ascii="Arial Narrow" w:hAnsi="Arial Narrow" w:cs="Arial"/>
        </w:rPr>
        <w:t>a</w:t>
      </w:r>
      <w:r w:rsidR="00174D8E">
        <w:rPr>
          <w:rFonts w:ascii="Arial Narrow" w:hAnsi="Arial Narrow" w:cs="Arial"/>
        </w:rPr>
        <w:t xml:space="preserve"> </w:t>
      </w:r>
      <w:r w:rsidR="00A41663" w:rsidRPr="00A41663">
        <w:rPr>
          <w:rFonts w:ascii="Arial Narrow" w:hAnsi="Arial Narrow" w:cs="Arial"/>
        </w:rPr>
        <w:t xml:space="preserve">con </w:t>
      </w:r>
      <w:r w:rsidR="00174D8E">
        <w:rPr>
          <w:rFonts w:ascii="Arial Narrow" w:hAnsi="Arial Narrow" w:cs="Arial"/>
        </w:rPr>
        <w:t xml:space="preserve">la cedula de ciudadanía </w:t>
      </w:r>
      <w:r w:rsidR="00A41663" w:rsidRPr="00A41663">
        <w:rPr>
          <w:rFonts w:ascii="Arial Narrow" w:hAnsi="Arial Narrow" w:cs="Arial"/>
        </w:rPr>
        <w:t>No.</w:t>
      </w:r>
      <w:r w:rsidR="003E2B5D" w:rsidRPr="003E2B5D">
        <w:t xml:space="preserve"> </w:t>
      </w:r>
      <w:r w:rsidR="009079C9" w:rsidRPr="009079C9">
        <w:rPr>
          <w:rFonts w:ascii="Arial Narrow" w:hAnsi="Arial Narrow" w:cs="Arial"/>
        </w:rPr>
        <w:t>92.533.323</w:t>
      </w:r>
      <w:r w:rsidR="00A41663" w:rsidRPr="00A41663">
        <w:rPr>
          <w:rFonts w:ascii="Arial Narrow" w:hAnsi="Arial Narrow" w:cs="Arial"/>
        </w:rPr>
        <w:t>,</w:t>
      </w:r>
      <w:r>
        <w:rPr>
          <w:rFonts w:ascii="Arial Narrow" w:hAnsi="Arial Narrow" w:cs="Arial"/>
        </w:rPr>
        <w:t xml:space="preserve"> el Jefe de Oficina Asesora Jurídica </w:t>
      </w:r>
      <w:r w:rsidR="00174D8E">
        <w:rPr>
          <w:rFonts w:ascii="Arial Narrow" w:hAnsi="Arial Narrow" w:cs="Arial"/>
        </w:rPr>
        <w:t>expidió</w:t>
      </w:r>
      <w:r w:rsidR="00A41663">
        <w:rPr>
          <w:rFonts w:ascii="Arial Narrow" w:hAnsi="Arial Narrow" w:cs="Arial"/>
        </w:rPr>
        <w:t xml:space="preserve"> </w:t>
      </w:r>
      <w:r w:rsidR="009079C9">
        <w:rPr>
          <w:rFonts w:ascii="Arial Narrow" w:hAnsi="Arial Narrow" w:cs="Arial"/>
        </w:rPr>
        <w:t>los</w:t>
      </w:r>
      <w:r w:rsidR="00A41663">
        <w:rPr>
          <w:rFonts w:ascii="Arial Narrow" w:hAnsi="Arial Narrow" w:cs="Arial"/>
        </w:rPr>
        <w:t xml:space="preserve"> mandamiento</w:t>
      </w:r>
      <w:r w:rsidR="009079C9">
        <w:rPr>
          <w:rFonts w:ascii="Arial Narrow" w:hAnsi="Arial Narrow" w:cs="Arial"/>
        </w:rPr>
        <w:t>s</w:t>
      </w:r>
      <w:r w:rsidR="00A41663">
        <w:rPr>
          <w:rFonts w:ascii="Arial Narrow" w:hAnsi="Arial Narrow" w:cs="Arial"/>
        </w:rPr>
        <w:t xml:space="preserve"> de pago</w:t>
      </w:r>
      <w:r w:rsidR="00AC5DBA">
        <w:rPr>
          <w:rFonts w:ascii="Arial Narrow" w:hAnsi="Arial Narrow" w:cs="Arial"/>
        </w:rPr>
        <w:t xml:space="preserve"> </w:t>
      </w:r>
      <w:r w:rsidR="002F1F00">
        <w:rPr>
          <w:rFonts w:ascii="Arial Narrow" w:hAnsi="Arial Narrow" w:cs="Arial"/>
        </w:rPr>
        <w:t>números</w:t>
      </w:r>
      <w:r w:rsidR="003437BF" w:rsidRPr="00D72167">
        <w:rPr>
          <w:rFonts w:ascii="Arial Narrow" w:hAnsi="Arial Narrow" w:cs="Arial"/>
          <w:b/>
          <w:bCs/>
        </w:rPr>
        <w:t xml:space="preserve"> </w:t>
      </w:r>
      <w:r w:rsidR="009079C9" w:rsidRPr="009079C9">
        <w:rPr>
          <w:rFonts w:ascii="Arial Narrow" w:hAnsi="Arial Narrow" w:cs="Arial"/>
          <w:b/>
          <w:bCs/>
        </w:rPr>
        <w:t>16178</w:t>
      </w:r>
      <w:r w:rsidR="005F181D">
        <w:rPr>
          <w:rFonts w:ascii="Arial Narrow" w:hAnsi="Arial Narrow" w:cs="Arial"/>
          <w:b/>
          <w:bCs/>
        </w:rPr>
        <w:t xml:space="preserve"> del </w:t>
      </w:r>
      <w:r w:rsidR="009079C9" w:rsidRPr="009079C9">
        <w:rPr>
          <w:rFonts w:ascii="Arial Narrow" w:hAnsi="Arial Narrow" w:cs="Arial"/>
          <w:b/>
          <w:bCs/>
        </w:rPr>
        <w:t>16 de junio de 2022</w:t>
      </w:r>
      <w:r w:rsidR="009079C9">
        <w:rPr>
          <w:rFonts w:ascii="Arial Narrow" w:hAnsi="Arial Narrow" w:cs="Arial"/>
          <w:b/>
          <w:bCs/>
        </w:rPr>
        <w:t xml:space="preserve"> y </w:t>
      </w:r>
      <w:r w:rsidR="009079C9" w:rsidRPr="009079C9">
        <w:rPr>
          <w:rFonts w:ascii="Arial Narrow" w:hAnsi="Arial Narrow" w:cs="Arial"/>
          <w:b/>
          <w:bCs/>
        </w:rPr>
        <w:t>84008 del 15 de agosto del 2025</w:t>
      </w:r>
      <w:r w:rsidR="009079C9">
        <w:rPr>
          <w:rFonts w:ascii="Arial Narrow" w:hAnsi="Arial Narrow" w:cs="Arial"/>
          <w:b/>
          <w:bCs/>
        </w:rPr>
        <w:t xml:space="preserve"> </w:t>
      </w:r>
      <w:r w:rsidR="00A41663" w:rsidRPr="00A41663">
        <w:rPr>
          <w:rFonts w:ascii="Arial Narrow" w:hAnsi="Arial Narrow" w:cs="Arial"/>
        </w:rPr>
        <w:t>contra</w:t>
      </w:r>
      <w:r>
        <w:rPr>
          <w:rFonts w:ascii="Arial Narrow" w:hAnsi="Arial Narrow" w:cs="Arial"/>
        </w:rPr>
        <w:t xml:space="preserve"> </w:t>
      </w:r>
      <w:r w:rsidR="009079C9">
        <w:rPr>
          <w:rFonts w:ascii="Arial Narrow" w:hAnsi="Arial Narrow" w:cs="Arial"/>
        </w:rPr>
        <w:t xml:space="preserve">el señor </w:t>
      </w:r>
      <w:r w:rsidR="009079C9" w:rsidRPr="00A41663">
        <w:rPr>
          <w:rFonts w:ascii="Arial Narrow" w:hAnsi="Arial Narrow" w:cs="Arial"/>
        </w:rPr>
        <w:t xml:space="preserve"> </w:t>
      </w:r>
      <w:r w:rsidR="009079C9" w:rsidRPr="009079C9">
        <w:rPr>
          <w:rFonts w:ascii="Arial Narrow" w:hAnsi="Arial Narrow"/>
          <w:b/>
          <w:bCs/>
        </w:rPr>
        <w:t>HERNAN RAFAEL ORTIZ CONTRERAS</w:t>
      </w:r>
      <w:r w:rsidR="009079C9" w:rsidRPr="00A41663">
        <w:rPr>
          <w:rFonts w:ascii="Arial Narrow" w:hAnsi="Arial Narrow" w:cs="Arial"/>
        </w:rPr>
        <w:t>, identificad</w:t>
      </w:r>
      <w:r w:rsidR="009079C9">
        <w:rPr>
          <w:rFonts w:ascii="Arial Narrow" w:hAnsi="Arial Narrow" w:cs="Arial"/>
        </w:rPr>
        <w:t xml:space="preserve">a </w:t>
      </w:r>
      <w:r w:rsidR="009079C9" w:rsidRPr="00A41663">
        <w:rPr>
          <w:rFonts w:ascii="Arial Narrow" w:hAnsi="Arial Narrow" w:cs="Arial"/>
        </w:rPr>
        <w:t xml:space="preserve">con </w:t>
      </w:r>
      <w:r w:rsidR="009079C9">
        <w:rPr>
          <w:rFonts w:ascii="Arial Narrow" w:hAnsi="Arial Narrow" w:cs="Arial"/>
        </w:rPr>
        <w:t xml:space="preserve">la cedula de ciudadanía </w:t>
      </w:r>
      <w:r w:rsidR="009079C9" w:rsidRPr="00A41663">
        <w:rPr>
          <w:rFonts w:ascii="Arial Narrow" w:hAnsi="Arial Narrow" w:cs="Arial"/>
        </w:rPr>
        <w:t>No.</w:t>
      </w:r>
      <w:r w:rsidR="009079C9" w:rsidRPr="003E2B5D">
        <w:t xml:space="preserve"> </w:t>
      </w:r>
      <w:r w:rsidR="009079C9" w:rsidRPr="009079C9">
        <w:rPr>
          <w:rFonts w:ascii="Arial Narrow" w:hAnsi="Arial Narrow" w:cs="Arial"/>
        </w:rPr>
        <w:t>92.533.323</w:t>
      </w:r>
      <w:r w:rsidR="00174D8E" w:rsidRPr="00A41663">
        <w:rPr>
          <w:rFonts w:ascii="Arial Narrow" w:hAnsi="Arial Narrow" w:cs="Arial"/>
        </w:rPr>
        <w:t>,</w:t>
      </w:r>
      <w:r w:rsidR="00A41663" w:rsidRPr="00A41663">
        <w:rPr>
          <w:rFonts w:ascii="Arial Narrow" w:hAnsi="Arial Narrow" w:cs="Arial"/>
        </w:rPr>
        <w:t xml:space="preserve"> por </w:t>
      </w:r>
      <w:r w:rsidR="000813CE">
        <w:rPr>
          <w:rFonts w:ascii="Arial Narrow" w:hAnsi="Arial Narrow" w:cs="Arial"/>
        </w:rPr>
        <w:t>las sumas</w:t>
      </w:r>
      <w:r w:rsidR="00A41663" w:rsidRPr="00A41663">
        <w:rPr>
          <w:rFonts w:ascii="Arial Narrow" w:hAnsi="Arial Narrow" w:cs="Arial"/>
        </w:rPr>
        <w:t xml:space="preserve"> de </w:t>
      </w:r>
      <w:r w:rsidR="009079C9" w:rsidRPr="009079C9">
        <w:rPr>
          <w:rFonts w:ascii="Arial Narrow" w:eastAsia="Calibri" w:hAnsi="Arial Narrow" w:cs="Arial"/>
          <w:b/>
          <w:lang w:eastAsia="es-ES"/>
        </w:rPr>
        <w:t>DOS MILLONES CUATROCIENTOS NOVENTA Y DOS MIL CUATROCIENTOS SESENTA PESOS M/CTE. ($2.492.460,00</w:t>
      </w:r>
      <w:r w:rsidR="003437BF" w:rsidRPr="003437BF">
        <w:rPr>
          <w:rFonts w:ascii="Arial Narrow" w:eastAsia="Calibri" w:hAnsi="Arial Narrow" w:cs="Arial"/>
          <w:b/>
          <w:lang w:eastAsia="es-ES"/>
        </w:rPr>
        <w:t>)</w:t>
      </w:r>
      <w:r w:rsidR="000813CE">
        <w:rPr>
          <w:rFonts w:ascii="Arial Narrow" w:eastAsia="Calibri" w:hAnsi="Arial Narrow" w:cs="Arial"/>
          <w:b/>
          <w:lang w:eastAsia="es-ES"/>
        </w:rPr>
        <w:t xml:space="preserve">  </w:t>
      </w:r>
      <w:r w:rsidR="000813CE" w:rsidRPr="000813CE">
        <w:rPr>
          <w:rFonts w:ascii="Arial Narrow" w:eastAsia="Calibri" w:hAnsi="Arial Narrow" w:cs="Arial"/>
          <w:bCs/>
          <w:lang w:eastAsia="es-ES"/>
        </w:rPr>
        <w:t>y</w:t>
      </w:r>
      <w:r w:rsidR="000813CE">
        <w:rPr>
          <w:rFonts w:ascii="Arial Narrow" w:eastAsia="Calibri" w:hAnsi="Arial Narrow" w:cs="Arial"/>
          <w:b/>
          <w:lang w:eastAsia="es-ES"/>
        </w:rPr>
        <w:t xml:space="preserve"> </w:t>
      </w:r>
      <w:r w:rsidR="009079C9" w:rsidRPr="009079C9">
        <w:rPr>
          <w:rFonts w:ascii="Arial Narrow" w:eastAsia="Calibri" w:hAnsi="Arial Narrow" w:cs="Arial"/>
          <w:b/>
          <w:lang w:eastAsia="es-ES"/>
        </w:rPr>
        <w:t>UN MILLON NOVENTA Y CUATRO MIL NOVECIENTOS</w:t>
      </w:r>
      <w:r w:rsidR="009079C9">
        <w:rPr>
          <w:rFonts w:ascii="Arial Narrow" w:eastAsia="Calibri" w:hAnsi="Arial Narrow" w:cs="Arial"/>
          <w:b/>
          <w:lang w:eastAsia="es-ES"/>
        </w:rPr>
        <w:t xml:space="preserve"> </w:t>
      </w:r>
      <w:r w:rsidR="009079C9" w:rsidRPr="009079C9">
        <w:rPr>
          <w:rFonts w:ascii="Arial Narrow" w:eastAsia="Calibri" w:hAnsi="Arial Narrow" w:cs="Arial"/>
          <w:b/>
          <w:lang w:eastAsia="es-ES"/>
        </w:rPr>
        <w:t>CINCUENTA Y CINCO PESOS M/CTE. ($1.094.955,00</w:t>
      </w:r>
      <w:r w:rsidR="009079C9">
        <w:rPr>
          <w:rFonts w:ascii="Arial Narrow" w:eastAsia="Calibri" w:hAnsi="Arial Narrow" w:cs="Arial"/>
          <w:b/>
          <w:lang w:eastAsia="es-ES"/>
        </w:rPr>
        <w:t xml:space="preserve">) </w:t>
      </w:r>
      <w:r w:rsidR="00174D8E">
        <w:rPr>
          <w:rFonts w:ascii="Arial Narrow" w:hAnsi="Arial Narrow" w:cs="Arial"/>
        </w:rPr>
        <w:t xml:space="preserve">fijándose el límite de la medida cautelar en </w:t>
      </w:r>
      <w:r w:rsidR="009079C9" w:rsidRPr="009079C9">
        <w:rPr>
          <w:rFonts w:ascii="Arial Narrow" w:hAnsi="Arial Narrow" w:cs="Arial"/>
          <w:b/>
          <w:bCs/>
        </w:rPr>
        <w:t>CUATRO MILLONES NOVECIENTOS OCHENTA Y CUATRO MIL NOVECIENTOS VEINTE PESOS M/CTE. ($4.984.920,00</w:t>
      </w:r>
      <w:r w:rsidR="00174D8E" w:rsidRPr="009079C9">
        <w:rPr>
          <w:rFonts w:ascii="Arial Narrow" w:hAnsi="Arial Narrow" w:cs="Arial"/>
          <w:b/>
          <w:bCs/>
        </w:rPr>
        <w:t>)</w:t>
      </w:r>
      <w:r w:rsidR="00174D8E">
        <w:rPr>
          <w:rFonts w:ascii="Arial Narrow" w:hAnsi="Arial Narrow" w:cs="Arial"/>
        </w:rPr>
        <w:t xml:space="preserve"> </w:t>
      </w:r>
      <w:r w:rsidR="009079C9">
        <w:rPr>
          <w:rFonts w:ascii="Arial Narrow" w:hAnsi="Arial Narrow" w:cs="Arial"/>
        </w:rPr>
        <w:t xml:space="preserve"> y </w:t>
      </w:r>
      <w:r w:rsidR="009079C9" w:rsidRPr="009079C9">
        <w:rPr>
          <w:rFonts w:ascii="Arial Narrow" w:hAnsi="Arial Narrow" w:cs="Arial"/>
          <w:b/>
          <w:bCs/>
        </w:rPr>
        <w:t>DOS MILLONES CIENTO OCHENTA Y NUEVE MIL NOVECIENTOS DIEZ PESOS M/CTE.($2.189.910,00)</w:t>
      </w:r>
      <w:r w:rsidR="009079C9">
        <w:rPr>
          <w:rFonts w:ascii="Arial Narrow" w:hAnsi="Arial Narrow" w:cs="Arial"/>
        </w:rPr>
        <w:t xml:space="preserve"> </w:t>
      </w:r>
      <w:r w:rsidR="00174D8E" w:rsidRPr="003437BF">
        <w:rPr>
          <w:rFonts w:ascii="Arial Narrow" w:hAnsi="Arial Narrow" w:cs="Arial"/>
        </w:rPr>
        <w:t xml:space="preserve"> </w:t>
      </w:r>
      <w:r w:rsidR="00A41663">
        <w:rPr>
          <w:rFonts w:ascii="Arial Narrow" w:hAnsi="Arial Narrow" w:cs="Arial"/>
        </w:rPr>
        <w:t>acto</w:t>
      </w:r>
      <w:r w:rsidR="00EB2AE8">
        <w:rPr>
          <w:rFonts w:ascii="Arial Narrow" w:hAnsi="Arial Narrow" w:cs="Arial"/>
        </w:rPr>
        <w:t>s</w:t>
      </w:r>
      <w:r w:rsidR="00A41663">
        <w:rPr>
          <w:rFonts w:ascii="Arial Narrow" w:hAnsi="Arial Narrow" w:cs="Arial"/>
        </w:rPr>
        <w:t xml:space="preserve"> administrativo</w:t>
      </w:r>
      <w:r w:rsidR="00AC5DBA">
        <w:rPr>
          <w:rFonts w:ascii="Arial Narrow" w:hAnsi="Arial Narrow" w:cs="Arial"/>
        </w:rPr>
        <w:t>s cuya notificación se describe a continuación</w:t>
      </w:r>
      <w:r>
        <w:rPr>
          <w:rFonts w:ascii="Arial Narrow" w:hAnsi="Arial Narrow" w:cs="Arial"/>
        </w:rPr>
        <w:t>:</w:t>
      </w:r>
    </w:p>
    <w:p w14:paraId="29C8F2BB" w14:textId="0D8CB1D8" w:rsidR="00AC5DBA" w:rsidRPr="00AC5DBA" w:rsidRDefault="00AC5DBA" w:rsidP="00AC5DBA">
      <w:pPr>
        <w:pStyle w:val="Prrafodelista"/>
        <w:numPr>
          <w:ilvl w:val="0"/>
          <w:numId w:val="14"/>
        </w:numPr>
        <w:jc w:val="both"/>
        <w:rPr>
          <w:rFonts w:ascii="Arial Narrow" w:hAnsi="Arial Narrow" w:cs="Arial"/>
        </w:rPr>
      </w:pPr>
      <w:r w:rsidRPr="00AC5DBA">
        <w:rPr>
          <w:rFonts w:ascii="Arial Narrow" w:hAnsi="Arial Narrow" w:cs="Arial"/>
          <w:b/>
          <w:bCs/>
        </w:rPr>
        <w:t>MANDAMIENTOS DE PAGO</w:t>
      </w:r>
      <w:r>
        <w:rPr>
          <w:rFonts w:ascii="Arial Narrow" w:hAnsi="Arial Narrow" w:cs="Arial"/>
        </w:rPr>
        <w:t xml:space="preserve"> </w:t>
      </w:r>
      <w:r w:rsidRPr="00597268">
        <w:rPr>
          <w:rFonts w:ascii="Arial Narrow" w:hAnsi="Arial Narrow" w:cs="Arial"/>
          <w:b/>
          <w:bCs/>
        </w:rPr>
        <w:t>No.</w:t>
      </w:r>
      <w:r w:rsidRPr="00D72167">
        <w:rPr>
          <w:rFonts w:ascii="Arial Narrow" w:hAnsi="Arial Narrow" w:cs="Arial"/>
          <w:b/>
          <w:bCs/>
        </w:rPr>
        <w:t xml:space="preserve"> </w:t>
      </w:r>
      <w:r w:rsidRPr="009079C9">
        <w:rPr>
          <w:rFonts w:ascii="Arial Narrow" w:hAnsi="Arial Narrow" w:cs="Arial"/>
          <w:b/>
          <w:bCs/>
        </w:rPr>
        <w:t>16178</w:t>
      </w:r>
      <w:r>
        <w:rPr>
          <w:rFonts w:ascii="Arial Narrow" w:hAnsi="Arial Narrow" w:cs="Arial"/>
          <w:b/>
          <w:bCs/>
        </w:rPr>
        <w:t xml:space="preserve"> DEL </w:t>
      </w:r>
      <w:r w:rsidRPr="009079C9">
        <w:rPr>
          <w:rFonts w:ascii="Arial Narrow" w:hAnsi="Arial Narrow" w:cs="Arial"/>
          <w:b/>
          <w:bCs/>
        </w:rPr>
        <w:t>16 DE JUNIO DE 2022</w:t>
      </w:r>
    </w:p>
    <w:p w14:paraId="0C01C54E" w14:textId="745C75F6" w:rsidR="004C5A4C" w:rsidRDefault="00B32608" w:rsidP="0085559B">
      <w:pPr>
        <w:jc w:val="center"/>
        <w:rPr>
          <w:rFonts w:ascii="Arial Narrow" w:hAnsi="Arial Narrow" w:cs="Arial"/>
        </w:rPr>
      </w:pPr>
      <w:r w:rsidRPr="00B32608">
        <w:rPr>
          <w:rFonts w:ascii="Arial Narrow" w:hAnsi="Arial Narrow" w:cs="Arial"/>
          <w:noProof/>
        </w:rPr>
        <w:drawing>
          <wp:inline distT="0" distB="0" distL="0" distR="0" wp14:anchorId="1A265E46" wp14:editId="63601605">
            <wp:extent cx="4533900" cy="2377758"/>
            <wp:effectExtent l="0" t="0" r="0" b="3810"/>
            <wp:docPr id="1437981495"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981495" name="Imagen 1" descr="Interfaz de usuario gráfica, Texto, Aplicación&#10;&#10;El contenido generado por IA puede ser incorrecto."/>
                    <pic:cNvPicPr/>
                  </pic:nvPicPr>
                  <pic:blipFill>
                    <a:blip r:embed="rId8"/>
                    <a:stretch>
                      <a:fillRect/>
                    </a:stretch>
                  </pic:blipFill>
                  <pic:spPr>
                    <a:xfrm>
                      <a:off x="0" y="0"/>
                      <a:ext cx="4542428" cy="2382231"/>
                    </a:xfrm>
                    <a:prstGeom prst="rect">
                      <a:avLst/>
                    </a:prstGeom>
                  </pic:spPr>
                </pic:pic>
              </a:graphicData>
            </a:graphic>
          </wp:inline>
        </w:drawing>
      </w:r>
    </w:p>
    <w:p w14:paraId="04BA5D44" w14:textId="60EEFE2A" w:rsidR="00B65A67" w:rsidRDefault="00B32608" w:rsidP="0085559B">
      <w:pPr>
        <w:jc w:val="center"/>
        <w:rPr>
          <w:rFonts w:ascii="Arial Narrow" w:hAnsi="Arial Narrow" w:cs="Arial"/>
        </w:rPr>
      </w:pPr>
      <w:r w:rsidRPr="00B32608">
        <w:rPr>
          <w:rFonts w:ascii="Arial Narrow" w:hAnsi="Arial Narrow" w:cs="Arial"/>
          <w:noProof/>
        </w:rPr>
        <w:drawing>
          <wp:inline distT="0" distB="0" distL="0" distR="0" wp14:anchorId="4B997C41" wp14:editId="52A4C5E4">
            <wp:extent cx="4400550" cy="2103182"/>
            <wp:effectExtent l="0" t="0" r="0" b="0"/>
            <wp:docPr id="922485662" name="Imagen 1"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485662" name="Imagen 1" descr="Imagen que contiene Texto&#10;&#10;El contenido generado por IA puede ser incorrecto."/>
                    <pic:cNvPicPr/>
                  </pic:nvPicPr>
                  <pic:blipFill>
                    <a:blip r:embed="rId9"/>
                    <a:stretch>
                      <a:fillRect/>
                    </a:stretch>
                  </pic:blipFill>
                  <pic:spPr>
                    <a:xfrm>
                      <a:off x="0" y="0"/>
                      <a:ext cx="4405718" cy="2105652"/>
                    </a:xfrm>
                    <a:prstGeom prst="rect">
                      <a:avLst/>
                    </a:prstGeom>
                  </pic:spPr>
                </pic:pic>
              </a:graphicData>
            </a:graphic>
          </wp:inline>
        </w:drawing>
      </w:r>
    </w:p>
    <w:p w14:paraId="78220E72" w14:textId="77777777" w:rsidR="00B65A67" w:rsidRDefault="00B65A67" w:rsidP="005F181D">
      <w:pPr>
        <w:jc w:val="both"/>
        <w:rPr>
          <w:rFonts w:ascii="Arial Narrow" w:hAnsi="Arial Narrow" w:cs="Arial"/>
        </w:rPr>
      </w:pPr>
    </w:p>
    <w:p w14:paraId="53D60E7E" w14:textId="1CA6079D" w:rsidR="00B65A67" w:rsidRDefault="0085559B" w:rsidP="00B65A67">
      <w:pPr>
        <w:jc w:val="center"/>
        <w:rPr>
          <w:rFonts w:ascii="Arial Narrow" w:hAnsi="Arial Narrow" w:cs="Arial"/>
        </w:rPr>
      </w:pPr>
      <w:r>
        <w:rPr>
          <w:rFonts w:ascii="Arial Narrow" w:hAnsi="Arial Narrow" w:cs="Arial"/>
        </w:rPr>
        <w:t>(citación</w:t>
      </w:r>
      <w:r w:rsidR="00B65A67">
        <w:rPr>
          <w:rFonts w:ascii="Arial Narrow" w:hAnsi="Arial Narrow" w:cs="Arial"/>
        </w:rPr>
        <w:t xml:space="preserve"> notificación personal mandamiento de pago</w:t>
      </w:r>
      <w:r w:rsidR="00215C3B">
        <w:rPr>
          <w:rFonts w:ascii="Arial Narrow" w:hAnsi="Arial Narrow" w:cs="Arial"/>
        </w:rPr>
        <w:t xml:space="preserve"> No.</w:t>
      </w:r>
      <w:r w:rsidR="00215C3B" w:rsidRPr="00215C3B">
        <w:rPr>
          <w:rFonts w:ascii="Arial Narrow" w:hAnsi="Arial Narrow" w:cs="Arial"/>
        </w:rPr>
        <w:t xml:space="preserve">16178 del 16 de junio de 2022 </w:t>
      </w:r>
      <w:r w:rsidR="00215C3B">
        <w:rPr>
          <w:rFonts w:ascii="Arial Narrow" w:hAnsi="Arial Narrow" w:cs="Arial"/>
        </w:rPr>
        <w:t>y</w:t>
      </w:r>
      <w:r w:rsidR="00B65A67">
        <w:rPr>
          <w:rFonts w:ascii="Arial Narrow" w:hAnsi="Arial Narrow" w:cs="Arial"/>
        </w:rPr>
        <w:t xml:space="preserve"> guía de </w:t>
      </w:r>
      <w:r w:rsidR="00F556BF">
        <w:rPr>
          <w:rFonts w:ascii="Arial Narrow" w:hAnsi="Arial Narrow" w:cs="Arial"/>
        </w:rPr>
        <w:t>envió</w:t>
      </w:r>
      <w:r w:rsidR="00B65A67">
        <w:rPr>
          <w:rFonts w:ascii="Arial Narrow" w:hAnsi="Arial Narrow" w:cs="Arial"/>
        </w:rPr>
        <w:t>)</w:t>
      </w:r>
    </w:p>
    <w:p w14:paraId="65B0A9EE" w14:textId="16488D21" w:rsidR="00B65A67" w:rsidRDefault="00B65A67" w:rsidP="0085559B">
      <w:pPr>
        <w:jc w:val="center"/>
        <w:rPr>
          <w:rFonts w:ascii="Arial Narrow" w:hAnsi="Arial Narrow" w:cs="Arial"/>
        </w:rPr>
      </w:pPr>
    </w:p>
    <w:p w14:paraId="7DF39DC9" w14:textId="5C741AEB" w:rsidR="00B65A67" w:rsidRDefault="00B32608" w:rsidP="0085559B">
      <w:pPr>
        <w:jc w:val="center"/>
        <w:rPr>
          <w:rFonts w:ascii="Arial Narrow" w:hAnsi="Arial Narrow" w:cs="Arial"/>
        </w:rPr>
      </w:pPr>
      <w:r w:rsidRPr="00B32608">
        <w:rPr>
          <w:rFonts w:ascii="Arial Narrow" w:hAnsi="Arial Narrow" w:cs="Arial"/>
          <w:noProof/>
        </w:rPr>
        <w:drawing>
          <wp:inline distT="0" distB="0" distL="0" distR="0" wp14:anchorId="6D39A321" wp14:editId="4006B562">
            <wp:extent cx="5095875" cy="5753100"/>
            <wp:effectExtent l="0" t="0" r="9525" b="0"/>
            <wp:docPr id="818401836"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401836" name="Imagen 1" descr="Texto&#10;&#10;El contenido generado por IA puede ser incorrecto."/>
                    <pic:cNvPicPr/>
                  </pic:nvPicPr>
                  <pic:blipFill>
                    <a:blip r:embed="rId10"/>
                    <a:stretch>
                      <a:fillRect/>
                    </a:stretch>
                  </pic:blipFill>
                  <pic:spPr>
                    <a:xfrm>
                      <a:off x="0" y="0"/>
                      <a:ext cx="5096586" cy="5753903"/>
                    </a:xfrm>
                    <a:prstGeom prst="rect">
                      <a:avLst/>
                    </a:prstGeom>
                  </pic:spPr>
                </pic:pic>
              </a:graphicData>
            </a:graphic>
          </wp:inline>
        </w:drawing>
      </w:r>
    </w:p>
    <w:p w14:paraId="418BEFD6" w14:textId="74577595" w:rsidR="00B65A67" w:rsidRDefault="00B65A67" w:rsidP="00B65A67">
      <w:pPr>
        <w:jc w:val="center"/>
        <w:rPr>
          <w:rFonts w:ascii="Arial Narrow" w:hAnsi="Arial Narrow" w:cs="Arial"/>
        </w:rPr>
      </w:pPr>
      <w:r>
        <w:rPr>
          <w:rFonts w:ascii="Arial Narrow" w:hAnsi="Arial Narrow" w:cs="Arial"/>
        </w:rPr>
        <w:t>(</w:t>
      </w:r>
      <w:r w:rsidR="0085559B">
        <w:rPr>
          <w:rFonts w:ascii="Arial Narrow" w:hAnsi="Arial Narrow" w:cs="Arial"/>
        </w:rPr>
        <w:t xml:space="preserve">pantallazo notificación por </w:t>
      </w:r>
      <w:r w:rsidR="00B32608">
        <w:rPr>
          <w:rFonts w:ascii="Arial Narrow" w:hAnsi="Arial Narrow" w:cs="Arial"/>
        </w:rPr>
        <w:t xml:space="preserve">publicación por </w:t>
      </w:r>
      <w:r>
        <w:rPr>
          <w:rFonts w:ascii="Arial Narrow" w:hAnsi="Arial Narrow" w:cs="Arial"/>
        </w:rPr>
        <w:t>aviso</w:t>
      </w:r>
      <w:r w:rsidR="0085559B">
        <w:rPr>
          <w:rFonts w:ascii="Arial Narrow" w:hAnsi="Arial Narrow" w:cs="Arial"/>
        </w:rPr>
        <w:t xml:space="preserve"> </w:t>
      </w:r>
      <w:r w:rsidR="00B32608">
        <w:rPr>
          <w:rFonts w:ascii="Arial Narrow" w:hAnsi="Arial Narrow" w:cs="Arial"/>
        </w:rPr>
        <w:t>del mandamiento de pago</w:t>
      </w:r>
      <w:r>
        <w:rPr>
          <w:rFonts w:ascii="Arial Narrow" w:hAnsi="Arial Narrow" w:cs="Arial"/>
        </w:rPr>
        <w:t>)</w:t>
      </w:r>
    </w:p>
    <w:p w14:paraId="7E702754" w14:textId="77777777" w:rsidR="004C5A4C" w:rsidRDefault="004C5A4C" w:rsidP="005F181D">
      <w:pPr>
        <w:jc w:val="both"/>
        <w:rPr>
          <w:rFonts w:ascii="Arial Narrow" w:hAnsi="Arial Narrow" w:cs="Arial"/>
        </w:rPr>
      </w:pPr>
    </w:p>
    <w:p w14:paraId="6B5BC513" w14:textId="77777777" w:rsidR="00B32608" w:rsidRDefault="00B32608" w:rsidP="005F181D">
      <w:pPr>
        <w:jc w:val="both"/>
        <w:rPr>
          <w:rFonts w:ascii="Arial Narrow" w:hAnsi="Arial Narrow" w:cs="Arial"/>
          <w:noProof/>
        </w:rPr>
      </w:pPr>
    </w:p>
    <w:p w14:paraId="4C6E2ED5" w14:textId="77777777" w:rsidR="00B32608" w:rsidRDefault="00B32608" w:rsidP="005F181D">
      <w:pPr>
        <w:jc w:val="both"/>
        <w:rPr>
          <w:rFonts w:ascii="Arial Narrow" w:hAnsi="Arial Narrow" w:cs="Arial"/>
          <w:noProof/>
        </w:rPr>
      </w:pPr>
    </w:p>
    <w:p w14:paraId="6A9D2CA8" w14:textId="2B54229F" w:rsidR="004C5A4C" w:rsidRDefault="00B32608" w:rsidP="00215C3B">
      <w:pPr>
        <w:jc w:val="center"/>
        <w:rPr>
          <w:rFonts w:ascii="Arial Narrow" w:hAnsi="Arial Narrow" w:cs="Arial"/>
        </w:rPr>
      </w:pPr>
      <w:r w:rsidRPr="00B32608">
        <w:rPr>
          <w:rFonts w:ascii="Arial Narrow" w:hAnsi="Arial Narrow" w:cs="Arial"/>
          <w:noProof/>
        </w:rPr>
        <w:lastRenderedPageBreak/>
        <w:drawing>
          <wp:inline distT="0" distB="0" distL="0" distR="0" wp14:anchorId="55C0FB76" wp14:editId="122EBC03">
            <wp:extent cx="5086350" cy="4231279"/>
            <wp:effectExtent l="0" t="0" r="0" b="0"/>
            <wp:docPr id="1502748616"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748616" name="Imagen 1" descr="Texto&#10;&#10;El contenido generado por IA puede ser incorrecto."/>
                    <pic:cNvPicPr/>
                  </pic:nvPicPr>
                  <pic:blipFill>
                    <a:blip r:embed="rId11"/>
                    <a:stretch>
                      <a:fillRect/>
                    </a:stretch>
                  </pic:blipFill>
                  <pic:spPr>
                    <a:xfrm>
                      <a:off x="0" y="0"/>
                      <a:ext cx="5089756" cy="4234112"/>
                    </a:xfrm>
                    <a:prstGeom prst="rect">
                      <a:avLst/>
                    </a:prstGeom>
                  </pic:spPr>
                </pic:pic>
              </a:graphicData>
            </a:graphic>
          </wp:inline>
        </w:drawing>
      </w:r>
    </w:p>
    <w:p w14:paraId="6A4B1092" w14:textId="29BA4D44" w:rsidR="00B65A67" w:rsidRDefault="00B65A67" w:rsidP="00B65A67">
      <w:pPr>
        <w:jc w:val="center"/>
        <w:rPr>
          <w:rFonts w:ascii="Arial Narrow" w:hAnsi="Arial Narrow" w:cs="Arial"/>
        </w:rPr>
      </w:pPr>
      <w:r>
        <w:rPr>
          <w:rFonts w:ascii="Arial Narrow" w:hAnsi="Arial Narrow" w:cs="Arial"/>
        </w:rPr>
        <w:t xml:space="preserve">(constancia de notificación del </w:t>
      </w:r>
      <w:r w:rsidR="0085559B">
        <w:rPr>
          <w:rFonts w:ascii="Arial Narrow" w:hAnsi="Arial Narrow" w:cs="Arial"/>
        </w:rPr>
        <w:t>mandamiento de pago</w:t>
      </w:r>
      <w:r w:rsidR="00BE42FE">
        <w:rPr>
          <w:rFonts w:ascii="Arial Narrow" w:hAnsi="Arial Narrow" w:cs="Arial"/>
        </w:rPr>
        <w:t xml:space="preserve"> No. </w:t>
      </w:r>
      <w:r w:rsidR="00B32608" w:rsidRPr="00B32608">
        <w:rPr>
          <w:rFonts w:ascii="Arial Narrow" w:hAnsi="Arial Narrow" w:cs="Arial"/>
        </w:rPr>
        <w:t>16178 del 16 de junio de 2022</w:t>
      </w:r>
      <w:r>
        <w:rPr>
          <w:rFonts w:ascii="Arial Narrow" w:hAnsi="Arial Narrow" w:cs="Arial"/>
        </w:rPr>
        <w:t>)</w:t>
      </w:r>
    </w:p>
    <w:p w14:paraId="5164E31A" w14:textId="1DE7B90E" w:rsidR="00AC5DBA" w:rsidRPr="00215C3B" w:rsidRDefault="00AC5DBA" w:rsidP="00AC5DBA">
      <w:pPr>
        <w:pStyle w:val="Prrafodelista"/>
        <w:numPr>
          <w:ilvl w:val="0"/>
          <w:numId w:val="14"/>
        </w:numPr>
        <w:rPr>
          <w:rFonts w:ascii="Arial Narrow" w:hAnsi="Arial Narrow" w:cs="Arial"/>
        </w:rPr>
      </w:pPr>
      <w:r w:rsidRPr="00AC5DBA">
        <w:rPr>
          <w:rFonts w:ascii="Arial Narrow" w:hAnsi="Arial Narrow" w:cs="Arial"/>
          <w:b/>
          <w:bCs/>
        </w:rPr>
        <w:t>MANDAMIENTO DE PAGO</w:t>
      </w:r>
      <w:r>
        <w:rPr>
          <w:rFonts w:ascii="Arial Narrow" w:hAnsi="Arial Narrow" w:cs="Arial"/>
        </w:rPr>
        <w:t xml:space="preserve"> </w:t>
      </w:r>
      <w:r w:rsidR="00215C3B" w:rsidRPr="00597268">
        <w:rPr>
          <w:rFonts w:ascii="Arial Narrow" w:hAnsi="Arial Narrow" w:cs="Arial"/>
          <w:b/>
          <w:bCs/>
        </w:rPr>
        <w:t>NO.</w:t>
      </w:r>
      <w:r w:rsidR="00215C3B" w:rsidRPr="00AC5DBA">
        <w:rPr>
          <w:rFonts w:ascii="Arial Narrow" w:hAnsi="Arial Narrow" w:cs="Arial"/>
          <w:b/>
          <w:bCs/>
        </w:rPr>
        <w:t xml:space="preserve"> </w:t>
      </w:r>
      <w:r w:rsidR="00215C3B" w:rsidRPr="009079C9">
        <w:rPr>
          <w:rFonts w:ascii="Arial Narrow" w:hAnsi="Arial Narrow" w:cs="Arial"/>
          <w:b/>
          <w:bCs/>
        </w:rPr>
        <w:t>84008 DEL 15 DE AGOSTO DEL 2025</w:t>
      </w:r>
      <w:r w:rsidR="00215C3B">
        <w:rPr>
          <w:rFonts w:ascii="Arial Narrow" w:hAnsi="Arial Narrow" w:cs="Arial"/>
          <w:b/>
          <w:bCs/>
        </w:rPr>
        <w:t xml:space="preserve"> </w:t>
      </w:r>
      <w:r w:rsidR="00215C3B">
        <w:rPr>
          <w:rFonts w:ascii="Arial Narrow" w:hAnsi="Arial Narrow" w:cs="Arial"/>
        </w:rPr>
        <w:t>(acto administrativo que se encuentra en trámite de notificación como se evidencia a continuación)</w:t>
      </w:r>
    </w:p>
    <w:p w14:paraId="3EBFD0DD" w14:textId="4A16F968" w:rsidR="00215C3B" w:rsidRDefault="00215C3B" w:rsidP="00215C3B">
      <w:pPr>
        <w:jc w:val="center"/>
        <w:rPr>
          <w:rFonts w:ascii="Arial Narrow" w:hAnsi="Arial Narrow" w:cs="Arial"/>
        </w:rPr>
      </w:pPr>
      <w:r w:rsidRPr="00215C3B">
        <w:rPr>
          <w:rFonts w:ascii="Arial Narrow" w:hAnsi="Arial Narrow" w:cs="Arial"/>
          <w:noProof/>
        </w:rPr>
        <w:drawing>
          <wp:inline distT="0" distB="0" distL="0" distR="0" wp14:anchorId="6E6AD495" wp14:editId="5A1E7570">
            <wp:extent cx="4781550" cy="2591868"/>
            <wp:effectExtent l="0" t="0" r="0" b="0"/>
            <wp:docPr id="1327984935" name="Imagen 1" descr="Texto, Cart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984935" name="Imagen 1" descr="Texto, Carta&#10;&#10;El contenido generado por IA puede ser incorrecto."/>
                    <pic:cNvPicPr/>
                  </pic:nvPicPr>
                  <pic:blipFill rotWithShape="1">
                    <a:blip r:embed="rId12"/>
                    <a:srcRect l="4159" t="5844" r="3119"/>
                    <a:stretch>
                      <a:fillRect/>
                    </a:stretch>
                  </pic:blipFill>
                  <pic:spPr bwMode="auto">
                    <a:xfrm>
                      <a:off x="0" y="0"/>
                      <a:ext cx="4788853" cy="2595827"/>
                    </a:xfrm>
                    <a:prstGeom prst="rect">
                      <a:avLst/>
                    </a:prstGeom>
                    <a:ln>
                      <a:noFill/>
                    </a:ln>
                    <a:extLst>
                      <a:ext uri="{53640926-AAD7-44D8-BBD7-CCE9431645EC}">
                        <a14:shadowObscured xmlns:a14="http://schemas.microsoft.com/office/drawing/2010/main"/>
                      </a:ext>
                    </a:extLst>
                  </pic:spPr>
                </pic:pic>
              </a:graphicData>
            </a:graphic>
          </wp:inline>
        </w:drawing>
      </w:r>
    </w:p>
    <w:p w14:paraId="78226A1D" w14:textId="77777777" w:rsidR="00215C3B" w:rsidRDefault="00215C3B" w:rsidP="00215C3B">
      <w:pPr>
        <w:jc w:val="center"/>
        <w:rPr>
          <w:rFonts w:ascii="Arial Narrow" w:hAnsi="Arial Narrow" w:cs="Arial"/>
        </w:rPr>
      </w:pPr>
    </w:p>
    <w:p w14:paraId="54A51837" w14:textId="77777777" w:rsidR="00215C3B" w:rsidRDefault="00215C3B" w:rsidP="00215C3B">
      <w:pPr>
        <w:jc w:val="center"/>
        <w:rPr>
          <w:rFonts w:ascii="Arial Narrow" w:hAnsi="Arial Narrow" w:cs="Arial"/>
        </w:rPr>
      </w:pPr>
    </w:p>
    <w:p w14:paraId="57773058" w14:textId="13CDEE1B" w:rsidR="00215C3B" w:rsidRPr="00215C3B" w:rsidRDefault="00215C3B" w:rsidP="00215C3B">
      <w:pPr>
        <w:jc w:val="center"/>
        <w:rPr>
          <w:rFonts w:ascii="Arial Narrow" w:hAnsi="Arial Narrow" w:cs="Arial"/>
        </w:rPr>
      </w:pPr>
      <w:r w:rsidRPr="00215C3B">
        <w:rPr>
          <w:rFonts w:ascii="Arial Narrow" w:hAnsi="Arial Narrow" w:cs="Arial"/>
          <w:noProof/>
        </w:rPr>
        <w:lastRenderedPageBreak/>
        <w:drawing>
          <wp:inline distT="0" distB="0" distL="0" distR="0" wp14:anchorId="5E343AFA" wp14:editId="4387B7E1">
            <wp:extent cx="5020376" cy="2419688"/>
            <wp:effectExtent l="0" t="0" r="8890" b="0"/>
            <wp:docPr id="1463594633"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594633" name="Imagen 1" descr="Texto&#10;&#10;El contenido generado por IA puede ser incorrecto."/>
                    <pic:cNvPicPr/>
                  </pic:nvPicPr>
                  <pic:blipFill>
                    <a:blip r:embed="rId13"/>
                    <a:stretch>
                      <a:fillRect/>
                    </a:stretch>
                  </pic:blipFill>
                  <pic:spPr>
                    <a:xfrm>
                      <a:off x="0" y="0"/>
                      <a:ext cx="5020376" cy="2419688"/>
                    </a:xfrm>
                    <a:prstGeom prst="rect">
                      <a:avLst/>
                    </a:prstGeom>
                  </pic:spPr>
                </pic:pic>
              </a:graphicData>
            </a:graphic>
          </wp:inline>
        </w:drawing>
      </w:r>
    </w:p>
    <w:p w14:paraId="12374FA2" w14:textId="47EDA1C1" w:rsidR="00215C3B" w:rsidRDefault="00215C3B" w:rsidP="00215C3B">
      <w:pPr>
        <w:jc w:val="center"/>
        <w:rPr>
          <w:rFonts w:ascii="Arial Narrow" w:hAnsi="Arial Narrow" w:cs="Arial"/>
        </w:rPr>
      </w:pPr>
      <w:r>
        <w:rPr>
          <w:rFonts w:ascii="Arial Narrow" w:hAnsi="Arial Narrow" w:cs="Arial"/>
        </w:rPr>
        <w:t>(citación notificación personal mandamiento de pago No.</w:t>
      </w:r>
      <w:r w:rsidRPr="00215C3B">
        <w:rPr>
          <w:rFonts w:ascii="Arial Narrow" w:hAnsi="Arial Narrow" w:cs="Arial"/>
        </w:rPr>
        <w:t xml:space="preserve"> 84008 del 15 de agosto del 2025 </w:t>
      </w:r>
      <w:r>
        <w:rPr>
          <w:rFonts w:ascii="Arial Narrow" w:hAnsi="Arial Narrow" w:cs="Arial"/>
        </w:rPr>
        <w:t xml:space="preserve">y guía de </w:t>
      </w:r>
      <w:r w:rsidR="00456599">
        <w:rPr>
          <w:rFonts w:ascii="Arial Narrow" w:hAnsi="Arial Narrow" w:cs="Arial"/>
        </w:rPr>
        <w:t>envió</w:t>
      </w:r>
      <w:r>
        <w:rPr>
          <w:rFonts w:ascii="Arial Narrow" w:hAnsi="Arial Narrow" w:cs="Arial"/>
        </w:rPr>
        <w:t>)</w:t>
      </w:r>
    </w:p>
    <w:p w14:paraId="6EA95D56" w14:textId="63F52097" w:rsidR="007762BF" w:rsidRPr="000977AC" w:rsidRDefault="007762BF" w:rsidP="007762BF">
      <w:pPr>
        <w:jc w:val="both"/>
        <w:rPr>
          <w:rFonts w:ascii="Arial Narrow" w:hAnsi="Arial Narrow" w:cs="Arial"/>
          <w:u w:val="single"/>
        </w:rPr>
      </w:pPr>
      <w:r>
        <w:rPr>
          <w:rFonts w:ascii="Arial Narrow" w:hAnsi="Arial Narrow" w:cs="Arial"/>
        </w:rPr>
        <w:t>En cumplimiento de la</w:t>
      </w:r>
      <w:r w:rsidR="00AC5DBA">
        <w:rPr>
          <w:rFonts w:ascii="Arial Narrow" w:hAnsi="Arial Narrow" w:cs="Arial"/>
        </w:rPr>
        <w:t>s</w:t>
      </w:r>
      <w:r>
        <w:rPr>
          <w:rFonts w:ascii="Arial Narrow" w:hAnsi="Arial Narrow" w:cs="Arial"/>
        </w:rPr>
        <w:t xml:space="preserve"> orden</w:t>
      </w:r>
      <w:r w:rsidR="00AC5DBA">
        <w:rPr>
          <w:rFonts w:ascii="Arial Narrow" w:hAnsi="Arial Narrow" w:cs="Arial"/>
        </w:rPr>
        <w:t>es</w:t>
      </w:r>
      <w:r w:rsidR="007A764E">
        <w:rPr>
          <w:rFonts w:ascii="Arial Narrow" w:hAnsi="Arial Narrow" w:cs="Arial"/>
        </w:rPr>
        <w:t xml:space="preserve"> </w:t>
      </w:r>
      <w:r>
        <w:rPr>
          <w:rFonts w:ascii="Arial Narrow" w:hAnsi="Arial Narrow" w:cs="Arial"/>
        </w:rPr>
        <w:t>emanada</w:t>
      </w:r>
      <w:r w:rsidR="00AC5DBA">
        <w:rPr>
          <w:rFonts w:ascii="Arial Narrow" w:hAnsi="Arial Narrow" w:cs="Arial"/>
        </w:rPr>
        <w:t>s</w:t>
      </w:r>
      <w:r>
        <w:rPr>
          <w:rFonts w:ascii="Arial Narrow" w:hAnsi="Arial Narrow" w:cs="Arial"/>
        </w:rPr>
        <w:t xml:space="preserve"> en </w:t>
      </w:r>
      <w:r w:rsidR="00EB2AE8">
        <w:rPr>
          <w:rFonts w:ascii="Arial Narrow" w:hAnsi="Arial Narrow" w:cs="Arial"/>
        </w:rPr>
        <w:t>los mandamientos</w:t>
      </w:r>
      <w:r>
        <w:rPr>
          <w:rFonts w:ascii="Arial Narrow" w:hAnsi="Arial Narrow" w:cs="Arial"/>
        </w:rPr>
        <w:t xml:space="preserve"> de pago, se libraron los oficios de embargo respectivos. </w:t>
      </w:r>
      <w:r w:rsidRPr="000977AC">
        <w:rPr>
          <w:rFonts w:ascii="Arial Narrow" w:hAnsi="Arial Narrow" w:cs="Arial"/>
          <w:u w:val="single"/>
        </w:rPr>
        <w:t>Es pertinente señalar que a la fecha no han constituido títulos de depósito judicial a favor de esta obligación.</w:t>
      </w:r>
    </w:p>
    <w:p w14:paraId="1A16EBF5" w14:textId="77777777" w:rsidR="007762BF" w:rsidRDefault="007762BF" w:rsidP="007762BF">
      <w:pPr>
        <w:jc w:val="both"/>
      </w:pPr>
      <w:r>
        <w:rPr>
          <w:rFonts w:ascii="Arial Narrow" w:hAnsi="Arial Narrow" w:cs="Arial"/>
        </w:rPr>
        <w:t xml:space="preserve">Es de tenerse en cuenta, </w:t>
      </w:r>
      <w:r w:rsidRPr="00A217C7">
        <w:rPr>
          <w:rFonts w:ascii="Arial Narrow" w:hAnsi="Arial Narrow" w:cs="Arial"/>
          <w:u w:val="single"/>
        </w:rPr>
        <w:t>que el fundamento de las medidas cautelares recae en la obtención efectiva del pago</w:t>
      </w:r>
      <w:r>
        <w:rPr>
          <w:rFonts w:ascii="Arial Narrow" w:hAnsi="Arial Narrow" w:cs="Arial"/>
        </w:rPr>
        <w:t xml:space="preserve"> </w:t>
      </w:r>
      <w:r w:rsidRPr="00456599">
        <w:rPr>
          <w:rFonts w:ascii="Arial Narrow" w:hAnsi="Arial Narrow" w:cs="Arial"/>
          <w:u w:val="single"/>
        </w:rPr>
        <w:t>total de la obligación</w:t>
      </w:r>
      <w:r>
        <w:rPr>
          <w:rFonts w:ascii="Arial Narrow" w:hAnsi="Arial Narrow" w:cs="Arial"/>
        </w:rPr>
        <w:t>, como se ha señalado, el cual se pretende no resulte ilusorio, en este sentido, la Honorable Corte Constitucional</w:t>
      </w:r>
      <w:r>
        <w:rPr>
          <w:rStyle w:val="Refdenotaalpie"/>
          <w:rFonts w:ascii="Arial Narrow" w:hAnsi="Arial Narrow" w:cs="Arial"/>
        </w:rPr>
        <w:footnoteReference w:id="1"/>
      </w:r>
      <w:r>
        <w:rPr>
          <w:rFonts w:ascii="Arial Narrow" w:hAnsi="Arial Narrow" w:cs="Arial"/>
        </w:rPr>
        <w:t xml:space="preserve"> se ha pronunciado a cerca del concepto de estas, previendo:</w:t>
      </w:r>
    </w:p>
    <w:p w14:paraId="7C66DBC2" w14:textId="77777777" w:rsidR="007762BF" w:rsidRDefault="007762BF" w:rsidP="007762BF">
      <w:pPr>
        <w:pStyle w:val="Sinespaciado"/>
        <w:jc w:val="both"/>
        <w:rPr>
          <w:rFonts w:ascii="Arial Narrow" w:hAnsi="Arial Narrow" w:cs="Arial"/>
          <w:sz w:val="20"/>
        </w:rPr>
      </w:pPr>
    </w:p>
    <w:p w14:paraId="1109A5CE" w14:textId="77777777" w:rsidR="007762BF" w:rsidRDefault="007762BF" w:rsidP="007762BF">
      <w:pPr>
        <w:pStyle w:val="Sinespaciado"/>
        <w:ind w:left="567" w:right="567"/>
        <w:jc w:val="both"/>
      </w:pPr>
      <w:r>
        <w:rPr>
          <w:rFonts w:ascii="Arial Narrow" w:hAnsi="Arial Narrow" w:cs="Arial"/>
          <w:i/>
          <w:sz w:val="20"/>
        </w:rPr>
        <w:t xml:space="preserve">“Para la Corte, las medidas cautelares, </w:t>
      </w:r>
      <w:r>
        <w:rPr>
          <w:rFonts w:ascii="Arial Narrow" w:hAnsi="Arial Narrow" w:cs="Arial"/>
          <w:i/>
          <w:sz w:val="20"/>
          <w:u w:val="single"/>
        </w:rPr>
        <w:t>son aquellos instrumentos con los cuales el ordenamiento protege, de manera provisional, y mientras dura el proceso, la integridad de un derecho que es controvertido en ese mismo proceso. De esa manera el ordenamiento protege preventivamente a quien acude a las autoridades judiciales a reclamar un derecho, con el fin de garantizar que la decisión adoptada sea materialmente ejecutada</w:t>
      </w:r>
      <w:r>
        <w:rPr>
          <w:rFonts w:ascii="Arial Narrow" w:hAnsi="Arial Narrow" w:cs="Arial"/>
          <w:i/>
          <w:sz w:val="20"/>
        </w:rPr>
        <w:t xml:space="preserve">. Por ello, esta Corporación señaló, en casos anteriores, que estas medidas buscan </w:t>
      </w:r>
      <w:r>
        <w:rPr>
          <w:rFonts w:ascii="Arial Narrow" w:hAnsi="Arial Narrow" w:cs="Arial"/>
          <w:i/>
          <w:sz w:val="20"/>
          <w:u w:val="single"/>
        </w:rPr>
        <w:t>asegurar el cumplimiento de la decisión que se adopte, porque los fallos serían ilusorios si la ley no estableciera mecanismos para asegurar sus resultados</w:t>
      </w:r>
      <w:r>
        <w:rPr>
          <w:rFonts w:ascii="Arial Narrow" w:hAnsi="Arial Narrow" w:cs="Arial"/>
          <w:i/>
          <w:sz w:val="20"/>
        </w:rPr>
        <w:t xml:space="preserve">, impidiendo la destrucción o afectación del derecho controvertido”. </w:t>
      </w:r>
      <w:r>
        <w:rPr>
          <w:rFonts w:ascii="Arial Narrow" w:hAnsi="Arial Narrow" w:cs="Arial"/>
          <w:b/>
          <w:sz w:val="20"/>
        </w:rPr>
        <w:t>(Subrayado fuera del texto original)</w:t>
      </w:r>
    </w:p>
    <w:p w14:paraId="3A2A7AEC" w14:textId="77777777" w:rsidR="007762BF" w:rsidRDefault="007762BF" w:rsidP="007762BF">
      <w:pPr>
        <w:pStyle w:val="Sinespaciado"/>
        <w:ind w:left="567" w:right="567"/>
        <w:jc w:val="both"/>
        <w:rPr>
          <w:rFonts w:ascii="Arial Narrow" w:hAnsi="Arial Narrow" w:cs="Arial"/>
          <w:i/>
        </w:rPr>
      </w:pPr>
    </w:p>
    <w:p w14:paraId="0ABA7439" w14:textId="77777777" w:rsidR="007762BF" w:rsidRDefault="007762BF" w:rsidP="007762BF">
      <w:pPr>
        <w:pStyle w:val="Sinespaciado"/>
        <w:jc w:val="both"/>
      </w:pPr>
      <w:r>
        <w:rPr>
          <w:rFonts w:ascii="Arial Narrow" w:hAnsi="Arial Narrow" w:cs="Arial"/>
        </w:rPr>
        <w:t>Siguiendo este mismo lineamiento, el Alto Tribunal Constitucional</w:t>
      </w:r>
      <w:r>
        <w:rPr>
          <w:rStyle w:val="Refdenotaalpie"/>
          <w:rFonts w:ascii="Arial Narrow" w:hAnsi="Arial Narrow" w:cs="Arial"/>
        </w:rPr>
        <w:footnoteReference w:id="2"/>
      </w:r>
      <w:r>
        <w:rPr>
          <w:rFonts w:ascii="Arial Narrow" w:hAnsi="Arial Narrow" w:cs="Arial"/>
        </w:rPr>
        <w:t>, dispone:</w:t>
      </w:r>
    </w:p>
    <w:p w14:paraId="2E0962EF" w14:textId="77777777" w:rsidR="007762BF" w:rsidRDefault="007762BF" w:rsidP="007762BF">
      <w:pPr>
        <w:jc w:val="both"/>
        <w:rPr>
          <w:rFonts w:ascii="Arial Narrow" w:hAnsi="Arial Narrow" w:cs="Arial"/>
          <w:sz w:val="20"/>
          <w:szCs w:val="20"/>
        </w:rPr>
      </w:pPr>
    </w:p>
    <w:p w14:paraId="39253574" w14:textId="77777777" w:rsidR="007762BF" w:rsidRDefault="007762BF" w:rsidP="007762BF">
      <w:pPr>
        <w:ind w:left="567" w:right="567"/>
        <w:jc w:val="both"/>
        <w:rPr>
          <w:rFonts w:ascii="Arial Narrow" w:hAnsi="Arial Narrow" w:cs="Arial"/>
          <w:sz w:val="20"/>
          <w:szCs w:val="20"/>
        </w:rPr>
      </w:pPr>
      <w:r>
        <w:rPr>
          <w:rFonts w:ascii="Arial Narrow" w:hAnsi="Arial Narrow" w:cs="Arial"/>
          <w:i/>
          <w:sz w:val="20"/>
          <w:szCs w:val="20"/>
        </w:rPr>
        <w:t xml:space="preserve">“La Corte Constitucional ha señalado que las </w:t>
      </w:r>
      <w:r>
        <w:rPr>
          <w:rFonts w:ascii="Arial Narrow" w:hAnsi="Arial Narrow" w:cs="Arial"/>
          <w:i/>
          <w:sz w:val="20"/>
          <w:szCs w:val="20"/>
          <w:u w:val="single"/>
        </w:rPr>
        <w:t>medidas cautelares son un instrumento procesal que tienen por objeto “garantizar el ejercicio de un derecho objetivo, legal o convencionalmente reconocido (por ejemplo el cobro ejecutivo de créditos)</w:t>
      </w:r>
      <w:r>
        <w:rPr>
          <w:rFonts w:ascii="Arial Narrow" w:hAnsi="Arial Narrow" w:cs="Arial"/>
          <w:i/>
          <w:sz w:val="20"/>
          <w:szCs w:val="20"/>
        </w:rPr>
        <w:t xml:space="preserve">, impedir que se modifique una situación de hecho o de derecho (secuestro preventivo en sucesiones) o </w:t>
      </w:r>
      <w:r>
        <w:rPr>
          <w:rFonts w:ascii="Arial Narrow" w:hAnsi="Arial Narrow" w:cs="Arial"/>
          <w:i/>
          <w:sz w:val="20"/>
          <w:szCs w:val="20"/>
          <w:u w:val="single"/>
        </w:rPr>
        <w:t>asegurar los resultados de una decisión judicial o administrativa futura, mientras se adelante y concluye la actuación respectiva, situaciones que de otra forma quedarían desprotegidas ante la no improbable actividad o conducta maliciosa del actual o eventual obligado</w:t>
      </w:r>
      <w:r>
        <w:rPr>
          <w:rFonts w:ascii="Arial Narrow" w:hAnsi="Arial Narrow" w:cs="Arial"/>
          <w:i/>
          <w:sz w:val="20"/>
          <w:szCs w:val="20"/>
        </w:rPr>
        <w:t xml:space="preserve">.” </w:t>
      </w:r>
      <w:r>
        <w:rPr>
          <w:rFonts w:ascii="Arial Narrow" w:hAnsi="Arial Narrow" w:cs="Arial"/>
          <w:b/>
          <w:sz w:val="20"/>
          <w:szCs w:val="20"/>
        </w:rPr>
        <w:t>(Subrayado fuera del texto original)</w:t>
      </w:r>
      <w:r>
        <w:rPr>
          <w:rFonts w:ascii="Arial Narrow" w:hAnsi="Arial Narrow" w:cs="Arial"/>
          <w:sz w:val="20"/>
          <w:szCs w:val="20"/>
        </w:rPr>
        <w:t>.</w:t>
      </w:r>
    </w:p>
    <w:p w14:paraId="6421E4E0" w14:textId="77777777" w:rsidR="00215C3B" w:rsidRDefault="00215C3B" w:rsidP="007762BF">
      <w:pPr>
        <w:ind w:left="567" w:right="567"/>
        <w:jc w:val="both"/>
        <w:rPr>
          <w:rFonts w:ascii="Arial Narrow" w:hAnsi="Arial Narrow" w:cs="Arial"/>
          <w:sz w:val="20"/>
          <w:szCs w:val="20"/>
        </w:rPr>
      </w:pPr>
    </w:p>
    <w:p w14:paraId="32DEB567" w14:textId="77777777" w:rsidR="00456599" w:rsidRDefault="00456599" w:rsidP="007762BF">
      <w:pPr>
        <w:ind w:left="567" w:right="567"/>
        <w:jc w:val="both"/>
        <w:rPr>
          <w:rFonts w:ascii="Arial Narrow" w:hAnsi="Arial Narrow" w:cs="Arial"/>
          <w:sz w:val="20"/>
          <w:szCs w:val="20"/>
        </w:rPr>
      </w:pPr>
    </w:p>
    <w:p w14:paraId="60DD6C86" w14:textId="77777777" w:rsidR="00882191" w:rsidRPr="00EA2816" w:rsidRDefault="00882191" w:rsidP="00882191">
      <w:pPr>
        <w:pStyle w:val="Prrafodelista"/>
        <w:numPr>
          <w:ilvl w:val="0"/>
          <w:numId w:val="9"/>
        </w:numPr>
        <w:ind w:left="720"/>
        <w:jc w:val="both"/>
        <w:rPr>
          <w:rFonts w:ascii="Arial Narrow" w:hAnsi="Arial Narrow"/>
        </w:rPr>
      </w:pPr>
      <w:r>
        <w:rPr>
          <w:rFonts w:ascii="Arial Narrow" w:hAnsi="Arial Narrow"/>
          <w:b/>
        </w:rPr>
        <w:lastRenderedPageBreak/>
        <w:t>DEL LIMITE DE LOS EMBARGOS Y EL LIMITE DE INEMBARGABILIDAD</w:t>
      </w:r>
      <w:r>
        <w:rPr>
          <w:rFonts w:ascii="Arial Narrow" w:hAnsi="Arial Narrow" w:cs="Arial"/>
          <w:b/>
          <w:bCs/>
        </w:rPr>
        <w:t xml:space="preserve">. </w:t>
      </w:r>
    </w:p>
    <w:p w14:paraId="299944BF" w14:textId="77777777" w:rsidR="00882191" w:rsidRDefault="00882191" w:rsidP="00882191">
      <w:pPr>
        <w:jc w:val="both"/>
        <w:rPr>
          <w:rFonts w:ascii="Arial Narrow" w:hAnsi="Arial Narrow"/>
        </w:rPr>
      </w:pPr>
      <w:r>
        <w:rPr>
          <w:rFonts w:ascii="Arial Narrow" w:hAnsi="Arial Narrow"/>
        </w:rPr>
        <w:t>En</w:t>
      </w:r>
      <w:r w:rsidRPr="005C248D">
        <w:rPr>
          <w:rFonts w:ascii="Arial Narrow" w:hAnsi="Arial Narrow"/>
        </w:rPr>
        <w:t xml:space="preserve"> cuanto a la supuesta vulneración</w:t>
      </w:r>
      <w:r>
        <w:rPr>
          <w:rFonts w:ascii="Arial Narrow" w:hAnsi="Arial Narrow"/>
        </w:rPr>
        <w:t xml:space="preserve"> al </w:t>
      </w:r>
      <w:r w:rsidRPr="005C248D">
        <w:rPr>
          <w:rFonts w:ascii="Arial Narrow" w:hAnsi="Arial Narrow"/>
        </w:rPr>
        <w:t xml:space="preserve">mínimo vital, bajo el argumento que </w:t>
      </w:r>
      <w:r>
        <w:rPr>
          <w:rFonts w:ascii="Arial Narrow" w:hAnsi="Arial Narrow"/>
        </w:rPr>
        <w:t>se ordene a la ADRES el descongelamiento de los dineros de la cuenta de ahorros del banco de Bogotá,</w:t>
      </w:r>
      <w:r w:rsidRPr="005C248D">
        <w:rPr>
          <w:rFonts w:ascii="Arial Narrow" w:hAnsi="Arial Narrow"/>
        </w:rPr>
        <w:t xml:space="preserve"> </w:t>
      </w:r>
      <w:bookmarkStart w:id="1" w:name="_Hlk212563222"/>
      <w:r w:rsidRPr="005C248D">
        <w:rPr>
          <w:rFonts w:ascii="Arial Narrow" w:hAnsi="Arial Narrow"/>
        </w:rPr>
        <w:t xml:space="preserve">se informa que </w:t>
      </w:r>
      <w:r w:rsidRPr="008B67BD">
        <w:rPr>
          <w:rFonts w:ascii="Arial Narrow" w:hAnsi="Arial Narrow"/>
          <w:u w:val="single"/>
        </w:rPr>
        <w:t xml:space="preserve">la Entidad desconoce sobre que productos financieros tiene titularidad </w:t>
      </w:r>
      <w:r>
        <w:rPr>
          <w:rFonts w:ascii="Arial Narrow" w:hAnsi="Arial Narrow"/>
          <w:u w:val="single"/>
        </w:rPr>
        <w:t>el deudor</w:t>
      </w:r>
      <w:r w:rsidRPr="008B67BD">
        <w:rPr>
          <w:rFonts w:ascii="Arial Narrow" w:hAnsi="Arial Narrow"/>
          <w:u w:val="single"/>
        </w:rPr>
        <w:t>, así como de la naturaleza de los ingresos que en estos se depositan.</w:t>
      </w:r>
      <w:r w:rsidRPr="005C248D">
        <w:rPr>
          <w:rFonts w:ascii="Arial Narrow" w:hAnsi="Arial Narrow"/>
        </w:rPr>
        <w:t xml:space="preserve"> Luego es la entidad financiera la que determina, dependiendo el tipo de producto financiero y del estudio que realice previo a acatar la orden de embargo, si registra o no el embargo, pues son ellos quienes cuenta con la información financiera de los deudores y no la ADRES.</w:t>
      </w:r>
    </w:p>
    <w:bookmarkEnd w:id="1"/>
    <w:p w14:paraId="77EF14B9" w14:textId="77777777" w:rsidR="00882191" w:rsidRDefault="00882191" w:rsidP="00882191">
      <w:pPr>
        <w:shd w:val="clear" w:color="auto" w:fill="FFFFFF"/>
        <w:ind w:firstLine="3"/>
        <w:jc w:val="both"/>
      </w:pPr>
      <w:r>
        <w:rPr>
          <w:rFonts w:ascii="Arial Narrow" w:eastAsia="Times New Roman" w:hAnsi="Arial Narrow" w:cs="Calibri"/>
          <w:color w:val="000000"/>
          <w:lang w:eastAsia="es-CO"/>
        </w:rPr>
        <w:t xml:space="preserve">En cuanto al límite de la </w:t>
      </w:r>
      <w:r w:rsidRPr="00A21931">
        <w:rPr>
          <w:rFonts w:ascii="Arial Narrow" w:eastAsia="Times New Roman" w:hAnsi="Arial Narrow" w:cs="Calibri"/>
          <w:color w:val="000000"/>
          <w:u w:val="single"/>
          <w:lang w:eastAsia="es-CO"/>
        </w:rPr>
        <w:t>medida cautelar de embargo</w:t>
      </w:r>
      <w:r>
        <w:rPr>
          <w:rFonts w:ascii="Arial Narrow" w:eastAsia="Times New Roman" w:hAnsi="Arial Narrow" w:cs="Calibri"/>
          <w:color w:val="000000"/>
          <w:lang w:eastAsia="es-CO"/>
        </w:rPr>
        <w:t>, de conformidad con los procesos administrativos de cobro coactivo, el mismo se determina, en el Estatuto Tributario Nacional así: </w:t>
      </w:r>
    </w:p>
    <w:p w14:paraId="29FAE609" w14:textId="77777777" w:rsidR="00882191" w:rsidRDefault="00882191" w:rsidP="00882191">
      <w:pPr>
        <w:shd w:val="clear" w:color="auto" w:fill="FFFFFF"/>
        <w:ind w:left="567" w:firstLine="3"/>
        <w:jc w:val="both"/>
      </w:pPr>
      <w:r>
        <w:rPr>
          <w:rFonts w:ascii="Arial Narrow" w:eastAsia="Times New Roman" w:hAnsi="Arial Narrow" w:cs="Calibri"/>
          <w:color w:val="000000"/>
          <w:lang w:eastAsia="es-CO"/>
        </w:rPr>
        <w:t> </w:t>
      </w:r>
      <w:r>
        <w:rPr>
          <w:rFonts w:ascii="Arial Narrow" w:eastAsia="Times New Roman" w:hAnsi="Arial Narrow" w:cs="Calibri"/>
          <w:i/>
          <w:iCs/>
          <w:color w:val="000000"/>
          <w:lang w:eastAsia="es-CO"/>
        </w:rPr>
        <w:t>“ARTICULO 838. LIMITE DE LOS EMBARGOS. El valor de los bienes embargados </w:t>
      </w:r>
      <w:r>
        <w:rPr>
          <w:rFonts w:ascii="Arial Narrow" w:eastAsia="Times New Roman" w:hAnsi="Arial Narrow" w:cs="Calibri"/>
          <w:b/>
          <w:bCs/>
          <w:i/>
          <w:iCs/>
          <w:color w:val="000000"/>
          <w:lang w:eastAsia="es-CO"/>
        </w:rPr>
        <w:t>no podrá exceder del doble de la deuda más sus intereses</w:t>
      </w:r>
      <w:r>
        <w:rPr>
          <w:rFonts w:ascii="Arial Narrow" w:eastAsia="Times New Roman" w:hAnsi="Arial Narrow" w:cs="Calibri"/>
          <w:i/>
          <w:iCs/>
          <w:color w:val="000000"/>
          <w:lang w:eastAsia="es-CO"/>
        </w:rPr>
        <w:t>. Si efectuado el avalúo de los bienes éstos excedieren la suma indicada, deberá reducirse el embargo si ello fuere posible, hasta dicho valor, oficiosamente o a solicitud del interesado. (…)” </w:t>
      </w:r>
      <w:r>
        <w:rPr>
          <w:rFonts w:eastAsia="Times New Roman" w:cs="Calibri"/>
          <w:color w:val="000000"/>
          <w:lang w:eastAsia="es-CO"/>
        </w:rPr>
        <w:t> </w:t>
      </w:r>
    </w:p>
    <w:p w14:paraId="19579F3E" w14:textId="77777777" w:rsidR="00882191" w:rsidRDefault="00882191" w:rsidP="00882191">
      <w:pPr>
        <w:shd w:val="clear" w:color="auto" w:fill="FFFFFF"/>
        <w:ind w:firstLine="3"/>
        <w:jc w:val="both"/>
        <w:rPr>
          <w:rFonts w:ascii="Arial Narrow" w:eastAsia="Times New Roman" w:hAnsi="Arial Narrow" w:cs="Calibri"/>
          <w:color w:val="000000"/>
          <w:lang w:eastAsia="es-CO"/>
        </w:rPr>
      </w:pPr>
      <w:r>
        <w:rPr>
          <w:rFonts w:ascii="Arial Narrow" w:eastAsia="Times New Roman" w:hAnsi="Arial Narrow" w:cs="Calibri"/>
          <w:color w:val="000000"/>
          <w:lang w:eastAsia="es-CO"/>
        </w:rPr>
        <w:t> En este sentido, los límites de las medidas cautelares fijados para las medidas cautelares se basaron en la precitada norma, es decir, que no exceden del doble del valor de la obligación y sus intereses. </w:t>
      </w:r>
    </w:p>
    <w:p w14:paraId="5184DB4C" w14:textId="77777777" w:rsidR="00882191" w:rsidRDefault="00882191" w:rsidP="00882191">
      <w:pPr>
        <w:shd w:val="clear" w:color="auto" w:fill="FFFFFF"/>
        <w:jc w:val="both"/>
      </w:pPr>
      <w:r>
        <w:rPr>
          <w:rFonts w:ascii="Arial Narrow" w:eastAsia="Times New Roman" w:hAnsi="Arial Narrow" w:cs="Calibri"/>
          <w:color w:val="000000"/>
          <w:lang w:eastAsia="es-CO"/>
        </w:rPr>
        <w:t>En lo que respecta a las medidas cautelares de embargo sobre las cuentas bancarias y demás productos financieros, en tratándose de los procesos administrativos de cobro coactivo, se da aplicación al artículo 837-1 del Estatuto Tributario Nacional, cuyo tenor literal reza: </w:t>
      </w:r>
    </w:p>
    <w:p w14:paraId="70DDE147" w14:textId="77777777" w:rsidR="00882191" w:rsidRDefault="00882191" w:rsidP="00882191">
      <w:pPr>
        <w:shd w:val="clear" w:color="auto" w:fill="FFFFFF"/>
        <w:ind w:left="567"/>
        <w:jc w:val="both"/>
      </w:pPr>
      <w:r>
        <w:rPr>
          <w:rFonts w:ascii="Arial Narrow" w:eastAsia="Times New Roman" w:hAnsi="Arial Narrow" w:cs="Calibri"/>
          <w:color w:val="000000"/>
          <w:lang w:eastAsia="es-CO"/>
        </w:rPr>
        <w:t> </w:t>
      </w:r>
      <w:r>
        <w:rPr>
          <w:rFonts w:ascii="Arial Narrow" w:eastAsia="Times New Roman" w:hAnsi="Arial Narrow" w:cs="Calibri"/>
          <w:i/>
          <w:iCs/>
          <w:color w:val="000000"/>
          <w:lang w:eastAsia="es-CO"/>
        </w:rPr>
        <w:t>“</w:t>
      </w:r>
      <w:r w:rsidRPr="008A2EDD">
        <w:rPr>
          <w:rFonts w:ascii="Arial Narrow" w:eastAsia="Times New Roman" w:hAnsi="Arial Narrow" w:cs="Calibri"/>
          <w:b/>
          <w:bCs/>
          <w:i/>
          <w:iCs/>
          <w:color w:val="000000"/>
          <w:lang w:eastAsia="es-CO"/>
        </w:rPr>
        <w:t>ARTÍCULO 837-1. LÍMITE DE INEMBARGABILIDAD</w:t>
      </w:r>
      <w:r>
        <w:rPr>
          <w:rFonts w:ascii="Arial Narrow" w:eastAsia="Times New Roman" w:hAnsi="Arial Narrow" w:cs="Calibri"/>
          <w:i/>
          <w:iCs/>
          <w:color w:val="000000"/>
          <w:lang w:eastAsia="es-CO"/>
        </w:rPr>
        <w:t>. &lt;Artículo adicionado por el artículo 9 de la Ley 1066 de 2006. El nuevo texto es el siguiente:&gt; Para efecto de los </w:t>
      </w:r>
      <w:r>
        <w:rPr>
          <w:rFonts w:ascii="Arial Narrow" w:eastAsia="Times New Roman" w:hAnsi="Arial Narrow" w:cs="Calibri"/>
          <w:b/>
          <w:bCs/>
          <w:i/>
          <w:iCs/>
          <w:color w:val="000000"/>
          <w:lang w:eastAsia="es-CO"/>
        </w:rPr>
        <w:t>embargos a cuentas de ahorro</w:t>
      </w:r>
      <w:r>
        <w:rPr>
          <w:rFonts w:ascii="Arial Narrow" w:eastAsia="Times New Roman" w:hAnsi="Arial Narrow" w:cs="Calibri"/>
          <w:i/>
          <w:iCs/>
          <w:color w:val="000000"/>
          <w:lang w:eastAsia="es-CO"/>
        </w:rPr>
        <w:t>, librados por la Dirección de Impuestos y Aduanas Nacionales dentro de los </w:t>
      </w:r>
      <w:r>
        <w:rPr>
          <w:rFonts w:ascii="Arial Narrow" w:eastAsia="Times New Roman" w:hAnsi="Arial Narrow" w:cs="Calibri"/>
          <w:b/>
          <w:bCs/>
          <w:i/>
          <w:iCs/>
          <w:color w:val="000000"/>
          <w:lang w:eastAsia="es-CO"/>
        </w:rPr>
        <w:t>procesos administrativos de cobro que esta adelante contra personas naturales, el límite de inembargabilidad es de veinticinco (25) salarios mínimos legales mensuales vigentes, depositados en la </w:t>
      </w:r>
      <w:r>
        <w:rPr>
          <w:rFonts w:ascii="Arial Narrow" w:eastAsia="Times New Roman" w:hAnsi="Arial Narrow" w:cs="Calibri"/>
          <w:b/>
          <w:bCs/>
          <w:i/>
          <w:iCs/>
          <w:color w:val="000000"/>
          <w:u w:val="single"/>
          <w:lang w:eastAsia="es-CO"/>
        </w:rPr>
        <w:t>cuenta de ahorros más antigua de la cual sea titular el contribuyente</w:t>
      </w:r>
      <w:r>
        <w:rPr>
          <w:rFonts w:ascii="Arial Narrow" w:eastAsia="Times New Roman" w:hAnsi="Arial Narrow" w:cs="Calibri"/>
          <w:i/>
          <w:iCs/>
          <w:color w:val="000000"/>
          <w:lang w:eastAsia="es-CO"/>
        </w:rPr>
        <w:t>.</w:t>
      </w:r>
      <w:r>
        <w:rPr>
          <w:rFonts w:eastAsia="Times New Roman" w:cs="Calibri"/>
          <w:color w:val="000000"/>
          <w:lang w:eastAsia="es-CO"/>
        </w:rPr>
        <w:t> </w:t>
      </w:r>
    </w:p>
    <w:p w14:paraId="0B184580" w14:textId="77777777" w:rsidR="00882191" w:rsidRDefault="00882191" w:rsidP="00882191">
      <w:pPr>
        <w:shd w:val="clear" w:color="auto" w:fill="FFFFFF"/>
        <w:ind w:left="567" w:right="567"/>
        <w:jc w:val="both"/>
      </w:pPr>
      <w:r>
        <w:rPr>
          <w:rFonts w:ascii="Arial Narrow" w:eastAsia="Times New Roman" w:hAnsi="Arial Narrow" w:cs="Calibri"/>
          <w:i/>
          <w:iCs/>
          <w:color w:val="000000"/>
          <w:lang w:eastAsia="es-CO"/>
        </w:rPr>
        <w:t> </w:t>
      </w:r>
      <w:r>
        <w:rPr>
          <w:rFonts w:ascii="Arial Narrow" w:eastAsia="Times New Roman" w:hAnsi="Arial Narrow" w:cs="Calibri"/>
          <w:b/>
          <w:bCs/>
          <w:i/>
          <w:iCs/>
          <w:color w:val="000000"/>
          <w:lang w:eastAsia="es-CO"/>
        </w:rPr>
        <w:t>En el caso de procesos que se adelanten contra personas jurídicas no existe límite de inembargabilidad</w:t>
      </w:r>
      <w:r>
        <w:rPr>
          <w:rFonts w:ascii="Arial Narrow" w:eastAsia="Times New Roman" w:hAnsi="Arial Narrow" w:cs="Calibri"/>
          <w:i/>
          <w:iCs/>
          <w:color w:val="000000"/>
          <w:lang w:eastAsia="es-CO"/>
        </w:rPr>
        <w:t>.</w:t>
      </w:r>
      <w:r>
        <w:rPr>
          <w:rFonts w:eastAsia="Times New Roman" w:cs="Calibri"/>
          <w:color w:val="000000"/>
          <w:lang w:eastAsia="es-CO"/>
        </w:rPr>
        <w:t> </w:t>
      </w:r>
    </w:p>
    <w:p w14:paraId="3D2EF7C6" w14:textId="77777777" w:rsidR="00882191" w:rsidRDefault="00882191" w:rsidP="00882191">
      <w:pPr>
        <w:shd w:val="clear" w:color="auto" w:fill="FFFFFF"/>
        <w:ind w:left="567" w:right="567"/>
        <w:jc w:val="both"/>
      </w:pPr>
      <w:r>
        <w:rPr>
          <w:rFonts w:ascii="Arial Narrow" w:eastAsia="Times New Roman" w:hAnsi="Arial Narrow" w:cs="Calibri"/>
          <w:i/>
          <w:iCs/>
          <w:color w:val="000000"/>
          <w:lang w:eastAsia="es-CO"/>
        </w:rPr>
        <w:t> &lt;Inciso modificado por el artículo 34 de la Ley 1430 de 2010. El nuevo texto es el siguiente:&gt; No serán susceptibles de medidas cautelares por parte de la DIAN y demás entidades públicas, los bienes inmuebles afectados con patrimonio de familia inembargable o con afectación a vivienda familiar, y las cuentas de depósito en el Banco de la República. </w:t>
      </w:r>
    </w:p>
    <w:p w14:paraId="4DE42A37" w14:textId="77777777" w:rsidR="00882191" w:rsidRDefault="00882191" w:rsidP="00882191">
      <w:pPr>
        <w:shd w:val="clear" w:color="auto" w:fill="FFFFFF"/>
        <w:ind w:left="567" w:right="567"/>
        <w:jc w:val="both"/>
      </w:pPr>
      <w:r>
        <w:rPr>
          <w:rFonts w:ascii="Arial Narrow" w:eastAsia="Times New Roman" w:hAnsi="Arial Narrow" w:cs="Calibri"/>
          <w:i/>
          <w:iCs/>
          <w:color w:val="000000"/>
          <w:lang w:eastAsia="es-CO"/>
        </w:rPr>
        <w:t> No obstante, </w:t>
      </w:r>
      <w:r>
        <w:rPr>
          <w:rFonts w:ascii="Arial Narrow" w:eastAsia="Times New Roman" w:hAnsi="Arial Narrow" w:cs="Calibri"/>
          <w:b/>
          <w:bCs/>
          <w:i/>
          <w:iCs/>
          <w:color w:val="000000"/>
          <w:lang w:eastAsia="es-CO"/>
        </w:rPr>
        <w:t>no existir límite de inembargabilidad, estos recursos no podrán utilizarse por la entidad ejecutora hasta tanto quede plenamente demostrada la acreencia a su favor, con fallo judicial debidamente ejecutoriado</w:t>
      </w:r>
      <w:r>
        <w:rPr>
          <w:rFonts w:ascii="Arial Narrow" w:eastAsia="Times New Roman" w:hAnsi="Arial Narrow" w:cs="Calibri"/>
          <w:i/>
          <w:iCs/>
          <w:color w:val="000000"/>
          <w:lang w:eastAsia="es-CO"/>
        </w:rPr>
        <w:t> o por vencimiento de los términos legales de que dispone el ejecutado para ejercer las acciones judiciales procedentes.</w:t>
      </w:r>
      <w:r>
        <w:rPr>
          <w:rFonts w:eastAsia="Times New Roman" w:cs="Calibri"/>
          <w:color w:val="000000"/>
          <w:lang w:eastAsia="es-CO"/>
        </w:rPr>
        <w:t> </w:t>
      </w:r>
    </w:p>
    <w:p w14:paraId="45345E2A" w14:textId="77777777" w:rsidR="00882191" w:rsidRDefault="00882191" w:rsidP="00882191">
      <w:pPr>
        <w:shd w:val="clear" w:color="auto" w:fill="FFFFFF"/>
        <w:ind w:left="567" w:right="567"/>
        <w:jc w:val="both"/>
      </w:pPr>
      <w:r>
        <w:rPr>
          <w:rFonts w:ascii="Arial Narrow" w:eastAsia="Times New Roman" w:hAnsi="Arial Narrow" w:cs="Calibri"/>
          <w:i/>
          <w:iCs/>
          <w:color w:val="000000"/>
          <w:lang w:eastAsia="es-CO"/>
        </w:rPr>
        <w:t> Los recursos que sean embargados permanecerán congelados en la cuenta bancaria del deudor hasta tanto sea admitida la demanda o el ejecutado garantice el pago del 100% del valor en discusión, mediante caución bancaria o de compañías de seguros. En ambos casos, la entidad ejecutora debe proceder inmediatamente, de oficio o a petición de parte, a ordenar el desembargo.</w:t>
      </w:r>
      <w:r>
        <w:rPr>
          <w:rFonts w:eastAsia="Times New Roman" w:cs="Calibri"/>
          <w:color w:val="000000"/>
          <w:lang w:eastAsia="es-CO"/>
        </w:rPr>
        <w:t> </w:t>
      </w:r>
    </w:p>
    <w:p w14:paraId="050D5777" w14:textId="77777777" w:rsidR="00882191" w:rsidRDefault="00882191" w:rsidP="00882191">
      <w:pPr>
        <w:shd w:val="clear" w:color="auto" w:fill="FFFFFF"/>
        <w:ind w:left="567"/>
        <w:jc w:val="both"/>
      </w:pPr>
      <w:r>
        <w:rPr>
          <w:rFonts w:ascii="Arial Narrow" w:eastAsia="Times New Roman" w:hAnsi="Arial Narrow" w:cs="Calibri"/>
          <w:color w:val="000000"/>
          <w:lang w:eastAsia="es-CO"/>
        </w:rPr>
        <w:lastRenderedPageBreak/>
        <w:t> </w:t>
      </w:r>
      <w:r>
        <w:rPr>
          <w:rFonts w:ascii="Arial Narrow" w:eastAsia="Times New Roman" w:hAnsi="Arial Narrow" w:cs="Calibri"/>
          <w:i/>
          <w:iCs/>
          <w:color w:val="000000"/>
          <w:lang w:eastAsia="es-CO"/>
        </w:rPr>
        <w:t>La caución prestada u ofrecida por el ejecutado conforme con el párrafo anterior, deberá ser aceptada por la entidad.”</w:t>
      </w:r>
      <w:r>
        <w:rPr>
          <w:rFonts w:eastAsia="Times New Roman" w:cs="Calibri"/>
          <w:color w:val="000000"/>
          <w:lang w:eastAsia="es-CO"/>
        </w:rPr>
        <w:t> </w:t>
      </w:r>
    </w:p>
    <w:p w14:paraId="6BE11A6A" w14:textId="77777777" w:rsidR="00882191" w:rsidRDefault="00882191" w:rsidP="00882191">
      <w:pPr>
        <w:shd w:val="clear" w:color="auto" w:fill="FFFFFF"/>
        <w:jc w:val="both"/>
        <w:rPr>
          <w:rFonts w:ascii="Arial Narrow" w:eastAsia="Times New Roman" w:hAnsi="Arial Narrow" w:cs="Calibri"/>
          <w:color w:val="000000"/>
          <w:lang w:eastAsia="es-CO"/>
        </w:rPr>
      </w:pPr>
      <w:r>
        <w:rPr>
          <w:rFonts w:ascii="Arial Narrow" w:eastAsia="Times New Roman" w:hAnsi="Arial Narrow" w:cs="Calibri"/>
          <w:color w:val="000000"/>
          <w:lang w:eastAsia="es-CO"/>
        </w:rPr>
        <w:t>Tomando como base la normatividad previamente trascrita, se presentan para el caso de las medidas cautelares decretadas por la ADRES contra las cuentas bancarias y demás productos financieros, se presentan dos situaciones en cuanto al embargo de las cuentas de ahorros cuando se adelantan procesos administrativos de cobro contra personas naturales, como: (i) las cuentas de ahorros se encuentran amparadas con el límite de inembargabilidad que corresponde a 25 salarios mínimos legales mensuales y (</w:t>
      </w:r>
      <w:proofErr w:type="spellStart"/>
      <w:r>
        <w:rPr>
          <w:rFonts w:ascii="Arial Narrow" w:eastAsia="Times New Roman" w:hAnsi="Arial Narrow" w:cs="Calibri"/>
          <w:color w:val="000000"/>
          <w:lang w:eastAsia="es-CO"/>
        </w:rPr>
        <w:t>ii</w:t>
      </w:r>
      <w:proofErr w:type="spellEnd"/>
      <w:r>
        <w:rPr>
          <w:rFonts w:ascii="Arial Narrow" w:eastAsia="Times New Roman" w:hAnsi="Arial Narrow" w:cs="Calibri"/>
          <w:color w:val="000000"/>
          <w:lang w:eastAsia="es-CO"/>
        </w:rPr>
        <w:t xml:space="preserve">) el límite de inembargabilidad aplica a la cuenta de ahorros más antigua de la que es titular el contribuyente. </w:t>
      </w:r>
    </w:p>
    <w:p w14:paraId="35BF3877" w14:textId="77777777" w:rsidR="00882191" w:rsidRDefault="00882191" w:rsidP="00882191">
      <w:pPr>
        <w:shd w:val="clear" w:color="auto" w:fill="FFFFFF"/>
        <w:jc w:val="both"/>
      </w:pPr>
      <w:r>
        <w:rPr>
          <w:rFonts w:ascii="Arial Narrow" w:eastAsia="Times New Roman" w:hAnsi="Arial Narrow" w:cs="Calibri"/>
          <w:color w:val="000000"/>
          <w:lang w:eastAsia="es-CO"/>
        </w:rPr>
        <w:t xml:space="preserve">Téngase en cuenta que, dentro del oficio de embargo que se remite a las entidades financieras, se hace esta aclaración, so pena que al momento de afectar estas cuentas de ahorros de las personas naturales no se respete el límite de inembargabilidad, </w:t>
      </w:r>
      <w:r w:rsidRPr="00456599">
        <w:rPr>
          <w:rFonts w:ascii="Arial Narrow" w:eastAsia="Times New Roman" w:hAnsi="Arial Narrow" w:cs="Calibri"/>
          <w:color w:val="000000"/>
          <w:u w:val="single"/>
          <w:lang w:eastAsia="es-CO"/>
        </w:rPr>
        <w:t>luego, es deber del banco que son los que administran estos productos, determinar cuales se encuentran amparadas con este límite de inembargabilidad y abstenerse de registrar la medida cautelar</w:t>
      </w:r>
      <w:r>
        <w:rPr>
          <w:rFonts w:ascii="Arial Narrow" w:eastAsia="Times New Roman" w:hAnsi="Arial Narrow" w:cs="Calibri"/>
          <w:color w:val="000000"/>
          <w:lang w:eastAsia="es-CO"/>
        </w:rPr>
        <w:t>, adicionalmente, determinar si se trata de la cuenta más antigua. Se advierte que este límite no aplica a las personas jurídicas. </w:t>
      </w:r>
    </w:p>
    <w:p w14:paraId="03E5ECB3" w14:textId="456CA999" w:rsidR="00882191" w:rsidRDefault="00882191" w:rsidP="00882191">
      <w:pPr>
        <w:jc w:val="both"/>
        <w:rPr>
          <w:rFonts w:ascii="Arial Narrow" w:hAnsi="Arial Narrow"/>
          <w:u w:val="single"/>
          <w:lang w:val="es-ES_tradnl"/>
        </w:rPr>
      </w:pPr>
      <w:r>
        <w:rPr>
          <w:rFonts w:ascii="Arial Narrow" w:hAnsi="Arial Narrow"/>
          <w:lang w:val="es-ES_tradnl"/>
        </w:rPr>
        <w:t xml:space="preserve">En conclusión,  la </w:t>
      </w:r>
      <w:r w:rsidR="00456599">
        <w:rPr>
          <w:rFonts w:ascii="Arial Narrow" w:hAnsi="Arial Narrow"/>
          <w:lang w:val="es-ES_tradnl"/>
        </w:rPr>
        <w:t>ADRES</w:t>
      </w:r>
      <w:r>
        <w:rPr>
          <w:rFonts w:ascii="Arial Narrow" w:hAnsi="Arial Narrow"/>
          <w:lang w:val="es-ES_tradnl"/>
        </w:rPr>
        <w:t xml:space="preserve"> hace las advertencias de ley a los bancos en los oficios donde se solicita la medida cautelar para que se abstengan de registrar los embargos a los productos financieros que gozan de inembargabilidad, de conformidad con el artículo 837-1 del Estatuto Tributario Nacional, el artículo 34 de la Ley 100 de 1993 y el artículo 594 del Código General del Proceso, por cuanto desconoce la ADRES sobre que, productos financieros tiene titularidad </w:t>
      </w:r>
      <w:r w:rsidR="00AC5DBA">
        <w:rPr>
          <w:rFonts w:ascii="Arial Narrow" w:hAnsi="Arial Narrow"/>
          <w:lang w:val="es-ES_tradnl"/>
        </w:rPr>
        <w:t>el deudor</w:t>
      </w:r>
      <w:r>
        <w:rPr>
          <w:rFonts w:ascii="Arial Narrow" w:hAnsi="Arial Narrow"/>
          <w:lang w:val="es-ES_tradnl"/>
        </w:rPr>
        <w:t xml:space="preserve">; adicionalmente, es </w:t>
      </w:r>
      <w:r w:rsidRPr="00456599">
        <w:rPr>
          <w:rFonts w:ascii="Arial Narrow" w:hAnsi="Arial Narrow"/>
          <w:u w:val="single"/>
          <w:lang w:val="es-ES_tradnl"/>
        </w:rPr>
        <w:t>la entidad financiera</w:t>
      </w:r>
      <w:r>
        <w:rPr>
          <w:rFonts w:ascii="Arial Narrow" w:hAnsi="Arial Narrow"/>
          <w:lang w:val="es-ES_tradnl"/>
        </w:rPr>
        <w:t xml:space="preserve"> que determina dependiendo del tipo de producto </w:t>
      </w:r>
      <w:r w:rsidRPr="008E764D">
        <w:rPr>
          <w:rFonts w:ascii="Arial Narrow" w:hAnsi="Arial Narrow"/>
          <w:u w:val="single"/>
          <w:lang w:val="es-ES_tradnl"/>
        </w:rPr>
        <w:t>financiero si registro o no el embargo</w:t>
      </w:r>
      <w:r>
        <w:rPr>
          <w:rFonts w:ascii="Arial Narrow" w:hAnsi="Arial Narrow"/>
          <w:lang w:val="es-ES_tradnl"/>
        </w:rPr>
        <w:t xml:space="preserve">, por ser ellos quienes cuentan con la información financiera del deudor, </w:t>
      </w:r>
      <w:r w:rsidRPr="00E9517C">
        <w:rPr>
          <w:rFonts w:ascii="Arial Narrow" w:hAnsi="Arial Narrow"/>
          <w:u w:val="single"/>
          <w:lang w:val="es-ES_tradnl"/>
        </w:rPr>
        <w:t>como consecuencia son ellos quienes determinaron si la cuenta embargada no se encontraba dentro de aquellas que exonera la norma.</w:t>
      </w:r>
    </w:p>
    <w:p w14:paraId="53159A40" w14:textId="77777777" w:rsidR="00882191" w:rsidRDefault="00882191" w:rsidP="007762BF">
      <w:pPr>
        <w:ind w:left="567" w:right="567"/>
        <w:jc w:val="both"/>
        <w:rPr>
          <w:rFonts w:ascii="Arial Narrow" w:hAnsi="Arial Narrow" w:cs="Arial"/>
          <w:sz w:val="20"/>
          <w:szCs w:val="20"/>
        </w:rPr>
      </w:pPr>
    </w:p>
    <w:bookmarkEnd w:id="0"/>
    <w:p w14:paraId="3AA21720" w14:textId="1C3AB6AD" w:rsidR="00FC5912" w:rsidRDefault="00FC5912" w:rsidP="00B14097">
      <w:pPr>
        <w:pStyle w:val="Prrafodelista"/>
        <w:jc w:val="both"/>
        <w:rPr>
          <w:rFonts w:ascii="Arial Narrow" w:hAnsi="Arial Narrow"/>
        </w:rPr>
      </w:pPr>
      <w:r w:rsidRPr="00B12BF0">
        <w:rPr>
          <w:rFonts w:ascii="Arial Narrow" w:hAnsi="Arial Narrow"/>
        </w:rPr>
        <w:t>De lo decantado se concluye:</w:t>
      </w:r>
    </w:p>
    <w:p w14:paraId="147CCD98" w14:textId="74B32F6A" w:rsidR="004455D9" w:rsidRDefault="00456599" w:rsidP="00456599">
      <w:pPr>
        <w:pStyle w:val="Prrafodelista"/>
        <w:tabs>
          <w:tab w:val="left" w:pos="4170"/>
        </w:tabs>
        <w:jc w:val="both"/>
        <w:rPr>
          <w:rFonts w:ascii="Arial Narrow" w:hAnsi="Arial Narrow"/>
        </w:rPr>
      </w:pPr>
      <w:r>
        <w:rPr>
          <w:rFonts w:ascii="Arial Narrow" w:hAnsi="Arial Narrow"/>
        </w:rPr>
        <w:tab/>
      </w:r>
    </w:p>
    <w:p w14:paraId="6B9DEE67" w14:textId="57750EA9" w:rsidR="00FC5912" w:rsidRDefault="00FC5912" w:rsidP="00FC5912">
      <w:pPr>
        <w:pStyle w:val="Prrafodelista"/>
        <w:numPr>
          <w:ilvl w:val="0"/>
          <w:numId w:val="7"/>
        </w:numPr>
        <w:suppressAutoHyphens/>
        <w:autoSpaceDN w:val="0"/>
        <w:spacing w:after="0" w:line="240" w:lineRule="auto"/>
        <w:jc w:val="both"/>
        <w:textAlignment w:val="baseline"/>
        <w:rPr>
          <w:rFonts w:ascii="Arial Narrow" w:hAnsi="Arial Narrow"/>
          <w:szCs w:val="20"/>
        </w:rPr>
      </w:pPr>
      <w:r w:rsidRPr="00B12BF0">
        <w:rPr>
          <w:rFonts w:ascii="Arial Narrow" w:hAnsi="Arial Narrow"/>
          <w:szCs w:val="20"/>
        </w:rPr>
        <w:t xml:space="preserve">La actuación administrativa que da </w:t>
      </w:r>
      <w:r w:rsidR="006F3D6F" w:rsidRPr="00B12BF0">
        <w:rPr>
          <w:rFonts w:ascii="Arial Narrow" w:hAnsi="Arial Narrow"/>
          <w:szCs w:val="20"/>
        </w:rPr>
        <w:t xml:space="preserve">origen </w:t>
      </w:r>
      <w:r w:rsidR="006F3D6F">
        <w:rPr>
          <w:rFonts w:ascii="Arial Narrow" w:hAnsi="Arial Narrow"/>
          <w:szCs w:val="20"/>
        </w:rPr>
        <w:t>a</w:t>
      </w:r>
      <w:r w:rsidR="00CF0FB3">
        <w:rPr>
          <w:rFonts w:ascii="Arial Narrow" w:hAnsi="Arial Narrow"/>
          <w:szCs w:val="20"/>
        </w:rPr>
        <w:t xml:space="preserve"> los</w:t>
      </w:r>
      <w:r w:rsidRPr="00B12BF0">
        <w:rPr>
          <w:rFonts w:ascii="Arial Narrow" w:hAnsi="Arial Narrow"/>
          <w:szCs w:val="20"/>
        </w:rPr>
        <w:t xml:space="preserve"> título</w:t>
      </w:r>
      <w:r w:rsidR="00CF0FB3">
        <w:rPr>
          <w:rFonts w:ascii="Arial Narrow" w:hAnsi="Arial Narrow"/>
          <w:szCs w:val="20"/>
        </w:rPr>
        <w:t>s</w:t>
      </w:r>
      <w:r w:rsidRPr="00B12BF0">
        <w:rPr>
          <w:rFonts w:ascii="Arial Narrow" w:hAnsi="Arial Narrow"/>
          <w:szCs w:val="20"/>
        </w:rPr>
        <w:t xml:space="preserve"> ejecutivo</w:t>
      </w:r>
      <w:r w:rsidR="00CF0FB3">
        <w:rPr>
          <w:rFonts w:ascii="Arial Narrow" w:hAnsi="Arial Narrow"/>
          <w:szCs w:val="20"/>
        </w:rPr>
        <w:t>s</w:t>
      </w:r>
      <w:r w:rsidRPr="00B12BF0">
        <w:rPr>
          <w:rFonts w:ascii="Arial Narrow" w:hAnsi="Arial Narrow"/>
          <w:szCs w:val="20"/>
        </w:rPr>
        <w:t xml:space="preserve"> base de la acción de cobro fue legal y debidamente notificad</w:t>
      </w:r>
      <w:r>
        <w:rPr>
          <w:rFonts w:ascii="Arial Narrow" w:hAnsi="Arial Narrow"/>
          <w:szCs w:val="20"/>
        </w:rPr>
        <w:t>o</w:t>
      </w:r>
      <w:r w:rsidRPr="00B12BF0">
        <w:rPr>
          <w:rFonts w:ascii="Arial Narrow" w:hAnsi="Arial Narrow"/>
          <w:szCs w:val="20"/>
        </w:rPr>
        <w:t xml:space="preserve"> como se detalló en el presente </w:t>
      </w:r>
      <w:r w:rsidRPr="00483B75">
        <w:rPr>
          <w:rFonts w:ascii="Arial Narrow" w:hAnsi="Arial Narrow" w:cs="Arial"/>
        </w:rPr>
        <w:t>escrito, conforme con lo previsto en los artículos 68 y 69 del C.P.A.P.A., por lo tanto,</w:t>
      </w:r>
      <w:r w:rsidRPr="00483B75">
        <w:rPr>
          <w:rFonts w:ascii="Arial Narrow" w:hAnsi="Arial Narrow" w:cs="Arial"/>
          <w:u w:val="single"/>
        </w:rPr>
        <w:t xml:space="preserve"> </w:t>
      </w:r>
      <w:r w:rsidR="00411D62" w:rsidRPr="00370D4E">
        <w:rPr>
          <w:rFonts w:ascii="Arial Narrow" w:hAnsi="Arial Narrow" w:cs="Arial"/>
          <w:u w:val="single"/>
        </w:rPr>
        <w:t xml:space="preserve">las Resoluciones </w:t>
      </w:r>
      <w:r w:rsidR="00483B75" w:rsidRPr="00483B75">
        <w:rPr>
          <w:rFonts w:ascii="Arial Narrow" w:hAnsi="Arial Narrow" w:cs="Arial"/>
          <w:u w:val="single"/>
        </w:rPr>
        <w:t>41368 de fecha 28 de octubre de 2019 y 36326  de fecha 18 de abril de 2024</w:t>
      </w:r>
      <w:r w:rsidR="004455D9" w:rsidRPr="00483B75">
        <w:rPr>
          <w:rFonts w:ascii="Arial Narrow" w:hAnsi="Arial Narrow" w:cs="Arial"/>
          <w:u w:val="single"/>
        </w:rPr>
        <w:t xml:space="preserve">, </w:t>
      </w:r>
      <w:r w:rsidRPr="00483B75">
        <w:rPr>
          <w:rFonts w:ascii="Arial Narrow" w:hAnsi="Arial Narrow" w:cs="Arial"/>
          <w:u w:val="single"/>
        </w:rPr>
        <w:t>goza</w:t>
      </w:r>
      <w:r w:rsidR="00EC7E29" w:rsidRPr="00483B75">
        <w:rPr>
          <w:rFonts w:ascii="Arial Narrow" w:hAnsi="Arial Narrow" w:cs="Arial"/>
          <w:u w:val="single"/>
        </w:rPr>
        <w:t>n</w:t>
      </w:r>
      <w:r w:rsidRPr="00483B75">
        <w:rPr>
          <w:rFonts w:ascii="Arial Narrow" w:hAnsi="Arial Narrow" w:cs="Arial"/>
          <w:u w:val="single"/>
        </w:rPr>
        <w:t xml:space="preserve"> de presunción</w:t>
      </w:r>
      <w:r>
        <w:rPr>
          <w:rFonts w:ascii="Arial Narrow" w:hAnsi="Arial Narrow"/>
          <w:szCs w:val="20"/>
        </w:rPr>
        <w:t xml:space="preserve"> de legalidad, adquiriendo un carácter ejecutivo y ejecutorio, como lo disponen los artículos 88 y 89, ib.</w:t>
      </w:r>
    </w:p>
    <w:p w14:paraId="775B400E" w14:textId="77777777" w:rsidR="003B6EC4" w:rsidRDefault="003B6EC4" w:rsidP="003B6EC4">
      <w:pPr>
        <w:pStyle w:val="Prrafodelista"/>
        <w:suppressAutoHyphens/>
        <w:autoSpaceDN w:val="0"/>
        <w:spacing w:after="0" w:line="240" w:lineRule="auto"/>
        <w:ind w:left="1080"/>
        <w:jc w:val="both"/>
        <w:textAlignment w:val="baseline"/>
        <w:rPr>
          <w:rFonts w:ascii="Arial Narrow" w:hAnsi="Arial Narrow"/>
          <w:szCs w:val="20"/>
        </w:rPr>
      </w:pPr>
    </w:p>
    <w:p w14:paraId="3F44AB0B" w14:textId="511093F8" w:rsidR="003B6EC4" w:rsidRDefault="003B6EC4" w:rsidP="00FC5912">
      <w:pPr>
        <w:pStyle w:val="Prrafodelista"/>
        <w:numPr>
          <w:ilvl w:val="0"/>
          <w:numId w:val="7"/>
        </w:numPr>
        <w:suppressAutoHyphens/>
        <w:autoSpaceDN w:val="0"/>
        <w:spacing w:after="0" w:line="240" w:lineRule="auto"/>
        <w:jc w:val="both"/>
        <w:textAlignment w:val="baseline"/>
        <w:rPr>
          <w:rFonts w:ascii="Arial Narrow" w:hAnsi="Arial Narrow"/>
          <w:szCs w:val="20"/>
        </w:rPr>
      </w:pPr>
      <w:r>
        <w:rPr>
          <w:rFonts w:ascii="Arial Narrow" w:hAnsi="Arial Narrow"/>
          <w:szCs w:val="20"/>
        </w:rPr>
        <w:t xml:space="preserve">La acción de tutela, </w:t>
      </w:r>
      <w:r w:rsidRPr="00B12BF0">
        <w:rPr>
          <w:rFonts w:ascii="Arial Narrow" w:hAnsi="Arial Narrow"/>
          <w:szCs w:val="20"/>
        </w:rPr>
        <w:t xml:space="preserve">al ser un mecanismo transitorio no es el medio idóneo para </w:t>
      </w:r>
      <w:r>
        <w:rPr>
          <w:rFonts w:ascii="Arial Narrow" w:hAnsi="Arial Narrow"/>
          <w:szCs w:val="20"/>
        </w:rPr>
        <w:t>que la accionante ejerza su</w:t>
      </w:r>
      <w:r w:rsidRPr="00B12BF0">
        <w:rPr>
          <w:rFonts w:ascii="Arial Narrow" w:hAnsi="Arial Narrow"/>
          <w:szCs w:val="20"/>
        </w:rPr>
        <w:t xml:space="preserve"> derecho de defensa y contradicción</w:t>
      </w:r>
      <w:r>
        <w:rPr>
          <w:rFonts w:ascii="Arial Narrow" w:hAnsi="Arial Narrow"/>
          <w:szCs w:val="20"/>
        </w:rPr>
        <w:t xml:space="preserve">, y para que a través de ella se pretenda  terminar el proceso y </w:t>
      </w:r>
      <w:r w:rsidRPr="00411D62">
        <w:rPr>
          <w:rFonts w:ascii="Arial Narrow" w:hAnsi="Arial Narrow"/>
          <w:szCs w:val="20"/>
          <w:u w:val="single"/>
        </w:rPr>
        <w:t>dejar sin efectos las medidas cautelares</w:t>
      </w:r>
      <w:r>
        <w:rPr>
          <w:rFonts w:ascii="Arial Narrow" w:hAnsi="Arial Narrow"/>
          <w:szCs w:val="20"/>
        </w:rPr>
        <w:t xml:space="preserve"> que como bien se ha expuesto, han sido legalmente decretadas, por lo tanto, al interior de los procesos administrativos de cobro coactivo, los deudores cuentan con los </w:t>
      </w:r>
      <w:r w:rsidRPr="00B12BF0">
        <w:rPr>
          <w:rFonts w:ascii="Arial Narrow" w:hAnsi="Arial Narrow"/>
          <w:szCs w:val="20"/>
        </w:rPr>
        <w:t>medios de defensa para</w:t>
      </w:r>
      <w:r>
        <w:rPr>
          <w:rFonts w:ascii="Arial Narrow" w:hAnsi="Arial Narrow"/>
          <w:szCs w:val="20"/>
        </w:rPr>
        <w:t xml:space="preserve"> que mediante ellos</w:t>
      </w:r>
      <w:r w:rsidRPr="00B12BF0">
        <w:rPr>
          <w:rFonts w:ascii="Arial Narrow" w:hAnsi="Arial Narrow"/>
          <w:szCs w:val="20"/>
        </w:rPr>
        <w:t xml:space="preserve"> </w:t>
      </w:r>
      <w:r>
        <w:rPr>
          <w:rFonts w:ascii="Arial Narrow" w:hAnsi="Arial Narrow"/>
          <w:szCs w:val="20"/>
        </w:rPr>
        <w:t>de aplicación efectiva a</w:t>
      </w:r>
      <w:r w:rsidRPr="00B12BF0">
        <w:rPr>
          <w:rFonts w:ascii="Arial Narrow" w:hAnsi="Arial Narrow"/>
          <w:szCs w:val="20"/>
        </w:rPr>
        <w:t xml:space="preserve"> su derecho constitucional al debido proceso consagrado en el artículo 29 del Texto Superior, como son: a) solicitud de revocación directa contra el título ejecutivo, b) presentación de escrito de excepciones, c) recurso de reposición contra la resolución que resuelve las excepciones, c) las objeciones contra la liquidación del crédito</w:t>
      </w:r>
      <w:r>
        <w:rPr>
          <w:rFonts w:ascii="Arial Narrow" w:hAnsi="Arial Narrow"/>
          <w:szCs w:val="20"/>
        </w:rPr>
        <w:t xml:space="preserve"> y, d) las solicitudes de información a través del derecho de petición, </w:t>
      </w:r>
      <w:r w:rsidR="00AC5DBA">
        <w:rPr>
          <w:rFonts w:ascii="Arial Narrow" w:hAnsi="Arial Narrow"/>
          <w:szCs w:val="20"/>
        </w:rPr>
        <w:t xml:space="preserve">de los cuales solo se ha  ejercido hasta el momento el derecho de petición por parte del señor </w:t>
      </w:r>
      <w:r w:rsidR="00AC5DBA">
        <w:rPr>
          <w:rFonts w:ascii="Arial Narrow" w:hAnsi="Arial Narrow" w:cs="Arial"/>
        </w:rPr>
        <w:t xml:space="preserve"> </w:t>
      </w:r>
      <w:r w:rsidR="00AC5DBA" w:rsidRPr="009079C9">
        <w:rPr>
          <w:rFonts w:ascii="Arial Narrow" w:hAnsi="Arial Narrow"/>
          <w:b/>
          <w:bCs/>
        </w:rPr>
        <w:t>HERNAN RAFAEL ORTIZ CONTRERAS</w:t>
      </w:r>
      <w:r w:rsidR="00AC5DBA">
        <w:rPr>
          <w:rFonts w:ascii="Arial Narrow" w:hAnsi="Arial Narrow"/>
          <w:szCs w:val="20"/>
        </w:rPr>
        <w:t xml:space="preserve">  al cual se dio respuesta de manera clara, precisa y de fondo a cada una de sus inquietudes dentro de los términos establecidos por la Ley</w:t>
      </w:r>
      <w:r>
        <w:rPr>
          <w:rFonts w:ascii="Arial Narrow" w:hAnsi="Arial Narrow" w:cs="Arial"/>
          <w:b/>
          <w:bCs/>
        </w:rPr>
        <w:t>.</w:t>
      </w:r>
    </w:p>
    <w:p w14:paraId="596A36CC" w14:textId="77777777" w:rsidR="007630BB" w:rsidRPr="00B12BF0" w:rsidRDefault="007630BB" w:rsidP="007630BB">
      <w:pPr>
        <w:pStyle w:val="Prrafodelista"/>
        <w:suppressAutoHyphens/>
        <w:autoSpaceDN w:val="0"/>
        <w:spacing w:after="0" w:line="240" w:lineRule="auto"/>
        <w:ind w:left="1080"/>
        <w:jc w:val="both"/>
        <w:textAlignment w:val="baseline"/>
        <w:rPr>
          <w:rFonts w:ascii="Arial Narrow" w:hAnsi="Arial Narrow"/>
          <w:szCs w:val="20"/>
        </w:rPr>
      </w:pPr>
    </w:p>
    <w:p w14:paraId="76B7087D" w14:textId="77777777" w:rsidR="00FC5912" w:rsidRPr="00310B41" w:rsidRDefault="00FC5912" w:rsidP="00FC5912">
      <w:pPr>
        <w:pStyle w:val="Prrafodelista"/>
        <w:numPr>
          <w:ilvl w:val="0"/>
          <w:numId w:val="7"/>
        </w:numPr>
        <w:suppressAutoHyphens/>
        <w:autoSpaceDN w:val="0"/>
        <w:spacing w:after="0" w:line="240" w:lineRule="auto"/>
        <w:jc w:val="both"/>
        <w:textAlignment w:val="baseline"/>
        <w:rPr>
          <w:rFonts w:ascii="Arial Narrow" w:hAnsi="Arial Narrow"/>
          <w:szCs w:val="20"/>
        </w:rPr>
      </w:pPr>
      <w:r w:rsidRPr="00310B41">
        <w:rPr>
          <w:rFonts w:ascii="Arial Narrow" w:hAnsi="Arial Narrow"/>
          <w:szCs w:val="20"/>
        </w:rPr>
        <w:t xml:space="preserve">De cara a las medidas cautelares, </w:t>
      </w:r>
      <w:r>
        <w:rPr>
          <w:rFonts w:ascii="Arial Narrow" w:hAnsi="Arial Narrow"/>
          <w:szCs w:val="20"/>
        </w:rPr>
        <w:t>e</w:t>
      </w:r>
      <w:r w:rsidRPr="00310B41">
        <w:rPr>
          <w:rFonts w:ascii="Arial Narrow" w:hAnsi="Arial Narrow"/>
          <w:szCs w:val="20"/>
        </w:rPr>
        <w:t xml:space="preserve">s importante señalar que la naturaleza del proceso administrativo de cobro coactivo tiene como finalidad obtener el pago forzado de las obligaciones </w:t>
      </w:r>
      <w:r w:rsidRPr="00310B41">
        <w:rPr>
          <w:rFonts w:ascii="Arial Narrow" w:hAnsi="Arial Narrow"/>
          <w:szCs w:val="20"/>
        </w:rPr>
        <w:lastRenderedPageBreak/>
        <w:t>a su favor, en este sentido por mandato legal las entidades públicas que ejercen la Jurisdicción Coactiva tienen el poder jurisdiccional que recae en</w:t>
      </w:r>
      <w:r>
        <w:rPr>
          <w:rFonts w:ascii="Arial Narrow" w:hAnsi="Arial Narrow"/>
          <w:szCs w:val="20"/>
        </w:rPr>
        <w:t xml:space="preserve"> el</w:t>
      </w:r>
      <w:r w:rsidRPr="00310B41">
        <w:rPr>
          <w:rFonts w:ascii="Arial Narrow" w:hAnsi="Arial Narrow"/>
          <w:szCs w:val="20"/>
        </w:rPr>
        <w:t xml:space="preserve"> funcionario ejecutor y cuya justificación se encuentra en la prevalencia del interés general, en cuanto dichos recursos se necesitan con urgencia para cumplir eficazmente con los fines </w:t>
      </w:r>
      <w:r>
        <w:rPr>
          <w:rFonts w:ascii="Arial Narrow" w:hAnsi="Arial Narrow"/>
          <w:szCs w:val="20"/>
        </w:rPr>
        <w:t xml:space="preserve">esenciales </w:t>
      </w:r>
      <w:r w:rsidRPr="00310B41">
        <w:rPr>
          <w:rFonts w:ascii="Arial Narrow" w:hAnsi="Arial Narrow"/>
          <w:szCs w:val="20"/>
        </w:rPr>
        <w:t xml:space="preserve">del Estado. </w:t>
      </w:r>
    </w:p>
    <w:p w14:paraId="66CD8B1C" w14:textId="77777777" w:rsidR="00FC5912" w:rsidRPr="00310B41" w:rsidRDefault="00FC5912" w:rsidP="00FC5912">
      <w:pPr>
        <w:pStyle w:val="Prrafodelista"/>
        <w:ind w:left="1080"/>
        <w:jc w:val="both"/>
        <w:rPr>
          <w:rFonts w:ascii="Arial Narrow" w:hAnsi="Arial Narrow"/>
          <w:szCs w:val="20"/>
        </w:rPr>
      </w:pPr>
    </w:p>
    <w:p w14:paraId="765E99FE" w14:textId="77777777" w:rsidR="00FC5912" w:rsidRPr="00310B41" w:rsidRDefault="00FC5912" w:rsidP="00FC5912">
      <w:pPr>
        <w:pStyle w:val="Prrafodelista"/>
        <w:ind w:left="1080"/>
        <w:jc w:val="both"/>
        <w:rPr>
          <w:rFonts w:ascii="Arial Narrow" w:hAnsi="Arial Narrow"/>
          <w:szCs w:val="20"/>
        </w:rPr>
      </w:pPr>
      <w:r w:rsidRPr="00310B41">
        <w:rPr>
          <w:rFonts w:ascii="Arial Narrow" w:hAnsi="Arial Narrow"/>
          <w:szCs w:val="20"/>
        </w:rPr>
        <w:t xml:space="preserve">De tal manera, que al iniciar un </w:t>
      </w:r>
      <w:r w:rsidRPr="00A217C7">
        <w:rPr>
          <w:rFonts w:ascii="Arial Narrow" w:hAnsi="Arial Narrow"/>
          <w:szCs w:val="20"/>
          <w:u w:val="single"/>
        </w:rPr>
        <w:t>proceso administrativo de cobro coactivo es imperante que se decreten medidas cautelares con el fin de recuperar la cartera adeudada a la administración</w:t>
      </w:r>
      <w:r w:rsidRPr="00310B41">
        <w:rPr>
          <w:rFonts w:ascii="Arial Narrow" w:hAnsi="Arial Narrow"/>
          <w:szCs w:val="20"/>
        </w:rPr>
        <w:t xml:space="preserve">, ordenando los embargos respectivos </w:t>
      </w:r>
      <w:r>
        <w:rPr>
          <w:rFonts w:ascii="Arial Narrow" w:hAnsi="Arial Narrow"/>
          <w:szCs w:val="20"/>
        </w:rPr>
        <w:t>que para el caso recaen en las</w:t>
      </w:r>
      <w:r w:rsidRPr="00310B41">
        <w:rPr>
          <w:rFonts w:ascii="Arial Narrow" w:hAnsi="Arial Narrow"/>
          <w:szCs w:val="20"/>
        </w:rPr>
        <w:t xml:space="preserve"> cuentas </w:t>
      </w:r>
      <w:r>
        <w:rPr>
          <w:rFonts w:ascii="Arial Narrow" w:hAnsi="Arial Narrow"/>
          <w:szCs w:val="20"/>
        </w:rPr>
        <w:t>bancarias de las que el deudor sea titular.</w:t>
      </w:r>
    </w:p>
    <w:p w14:paraId="2646A9E6" w14:textId="77777777" w:rsidR="00FC5912" w:rsidRPr="00310B41" w:rsidRDefault="00FC5912" w:rsidP="00FC5912">
      <w:pPr>
        <w:pStyle w:val="Prrafodelista"/>
        <w:ind w:left="1080"/>
        <w:jc w:val="both"/>
        <w:rPr>
          <w:rFonts w:ascii="Arial Narrow" w:hAnsi="Arial Narrow"/>
          <w:szCs w:val="20"/>
        </w:rPr>
      </w:pPr>
    </w:p>
    <w:p w14:paraId="7FF0A382" w14:textId="1D7B1D37" w:rsidR="00FC5912" w:rsidRDefault="00FC5912" w:rsidP="00FC5912">
      <w:pPr>
        <w:pStyle w:val="Prrafodelista"/>
        <w:ind w:left="1080"/>
        <w:jc w:val="both"/>
        <w:rPr>
          <w:rFonts w:ascii="Arial Narrow" w:hAnsi="Arial Narrow"/>
          <w:szCs w:val="20"/>
        </w:rPr>
      </w:pPr>
      <w:r w:rsidRPr="00310B41">
        <w:rPr>
          <w:rFonts w:ascii="Arial Narrow" w:hAnsi="Arial Narrow"/>
          <w:szCs w:val="20"/>
        </w:rPr>
        <w:t xml:space="preserve">Inclusive, el artículo 837 del Estatuto Tributario contempla que las medidas cautelares pueden ser previas o simultaneas con el mandamiento de pago, por esta razón, es que los funcionarios </w:t>
      </w:r>
      <w:r>
        <w:rPr>
          <w:rFonts w:ascii="Arial Narrow" w:hAnsi="Arial Narrow"/>
          <w:szCs w:val="20"/>
        </w:rPr>
        <w:t>ejecutores</w:t>
      </w:r>
      <w:r w:rsidRPr="00310B41">
        <w:rPr>
          <w:rFonts w:ascii="Arial Narrow" w:hAnsi="Arial Narrow"/>
          <w:szCs w:val="20"/>
        </w:rPr>
        <w:t xml:space="preserve"> en cumplimiento de sus funciones y las normas procesales que rigen el proceso de cobro oficiaron a las entidades bancarias a nivel nacional ordenando el embargo de las cuentas bancarias de ahorro, corrientes y/o CDT. </w:t>
      </w:r>
    </w:p>
    <w:p w14:paraId="171C81A7" w14:textId="3BA69FC3" w:rsidR="00532C3B" w:rsidRDefault="00532C3B" w:rsidP="00FC5912">
      <w:pPr>
        <w:pStyle w:val="Prrafodelista"/>
        <w:ind w:left="1080"/>
        <w:jc w:val="both"/>
        <w:rPr>
          <w:rFonts w:ascii="Arial Narrow" w:hAnsi="Arial Narrow"/>
          <w:szCs w:val="20"/>
        </w:rPr>
      </w:pPr>
    </w:p>
    <w:p w14:paraId="70615503" w14:textId="1C9A8775" w:rsidR="00F80CFC" w:rsidRPr="00450432" w:rsidRDefault="00FC5912" w:rsidP="00675076">
      <w:pPr>
        <w:jc w:val="both"/>
      </w:pPr>
      <w:r w:rsidRPr="00B12BF0">
        <w:rPr>
          <w:rFonts w:ascii="Arial Narrow" w:hAnsi="Arial Narrow"/>
        </w:rPr>
        <w:t xml:space="preserve">En estos términos se emite el pronunciamiento frente a la situación fáctica y pretensiones desde las funciones asignadas a este Grupo de Cobro, </w:t>
      </w:r>
      <w:r>
        <w:rPr>
          <w:rFonts w:ascii="Arial Narrow" w:hAnsi="Arial Narrow"/>
        </w:rPr>
        <w:t>por lo tanto, se hace remisión en medio digital del expediente de cobro</w:t>
      </w:r>
      <w:r w:rsidR="00EB492C">
        <w:rPr>
          <w:rFonts w:ascii="Arial Narrow" w:hAnsi="Arial Narrow" w:cs="Arial"/>
          <w:color w:val="000000"/>
        </w:rPr>
        <w:t xml:space="preserve"> </w:t>
      </w:r>
      <w:r w:rsidR="00EB1EAD">
        <w:rPr>
          <w:rFonts w:ascii="Arial Narrow" w:hAnsi="Arial Narrow" w:cs="Arial"/>
          <w:color w:val="000000"/>
        </w:rPr>
        <w:t>coactivo en (</w:t>
      </w:r>
      <w:r w:rsidR="00215C3B">
        <w:rPr>
          <w:rFonts w:ascii="Arial Narrow" w:hAnsi="Arial Narrow" w:cs="Arial"/>
          <w:color w:val="000000"/>
        </w:rPr>
        <w:t>30</w:t>
      </w:r>
      <w:r w:rsidR="00EB1EAD">
        <w:rPr>
          <w:rFonts w:ascii="Arial Narrow" w:hAnsi="Arial Narrow" w:cs="Arial"/>
          <w:color w:val="000000"/>
        </w:rPr>
        <w:t>) folios</w:t>
      </w:r>
      <w:r w:rsidR="00AC5DBA">
        <w:rPr>
          <w:rFonts w:ascii="Arial Narrow" w:hAnsi="Arial Narrow" w:cs="Arial"/>
          <w:color w:val="000000"/>
        </w:rPr>
        <w:t xml:space="preserve"> y el expediente de reclamaciones (</w:t>
      </w:r>
      <w:r w:rsidR="00CF0FB3">
        <w:rPr>
          <w:rFonts w:ascii="Arial Narrow" w:hAnsi="Arial Narrow" w:cs="Arial"/>
          <w:color w:val="000000"/>
        </w:rPr>
        <w:t>70</w:t>
      </w:r>
      <w:r w:rsidR="00AC5DBA">
        <w:rPr>
          <w:rFonts w:ascii="Arial Narrow" w:hAnsi="Arial Narrow" w:cs="Arial"/>
          <w:color w:val="000000"/>
        </w:rPr>
        <w:t xml:space="preserve">) </w:t>
      </w:r>
      <w:r w:rsidR="00F556BF">
        <w:rPr>
          <w:rFonts w:ascii="Arial Narrow" w:hAnsi="Arial Narrow" w:cs="Arial"/>
          <w:color w:val="000000"/>
        </w:rPr>
        <w:t>folios y</w:t>
      </w:r>
      <w:r w:rsidR="00CF0FB3">
        <w:rPr>
          <w:rFonts w:ascii="Arial Narrow" w:hAnsi="Arial Narrow" w:cs="Arial"/>
          <w:color w:val="000000"/>
        </w:rPr>
        <w:t xml:space="preserve"> el estado de cuenta </w:t>
      </w:r>
      <w:r w:rsidR="00177D45">
        <w:rPr>
          <w:rFonts w:ascii="Arial Narrow" w:hAnsi="Arial Narrow" w:cs="Arial"/>
          <w:color w:val="000000"/>
        </w:rPr>
        <w:t>con</w:t>
      </w:r>
      <w:r w:rsidRPr="00B12BF0">
        <w:rPr>
          <w:rFonts w:ascii="Arial Narrow" w:hAnsi="Arial Narrow"/>
        </w:rPr>
        <w:t xml:space="preserve"> la finalidad de adelantar la defensa de la entidad en el trámite que nos convoca.</w:t>
      </w:r>
    </w:p>
    <w:sectPr w:rsidR="00F80CFC" w:rsidRPr="00450432">
      <w:footerReference w:type="default" r:id="rId1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75564" w14:textId="77777777" w:rsidR="006F6459" w:rsidRDefault="006F6459" w:rsidP="0079712D">
      <w:pPr>
        <w:spacing w:after="0" w:line="240" w:lineRule="auto"/>
      </w:pPr>
      <w:r>
        <w:separator/>
      </w:r>
    </w:p>
  </w:endnote>
  <w:endnote w:type="continuationSeparator" w:id="0">
    <w:p w14:paraId="22BAE9B1" w14:textId="77777777" w:rsidR="006F6459" w:rsidRDefault="006F6459" w:rsidP="00797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Linux Libertine G">
    <w:altName w:val="Cambria"/>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0C924" w14:textId="0725AE8B" w:rsidR="00215C3B" w:rsidRDefault="00215C3B">
    <w:pPr>
      <w:pStyle w:val="Piedepgina"/>
    </w:pPr>
    <w:r>
      <w:t>º</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BB4C3" w14:textId="77777777" w:rsidR="006F6459" w:rsidRDefault="006F6459" w:rsidP="0079712D">
      <w:pPr>
        <w:spacing w:after="0" w:line="240" w:lineRule="auto"/>
      </w:pPr>
      <w:r>
        <w:separator/>
      </w:r>
    </w:p>
  </w:footnote>
  <w:footnote w:type="continuationSeparator" w:id="0">
    <w:p w14:paraId="25A1F4B7" w14:textId="77777777" w:rsidR="006F6459" w:rsidRDefault="006F6459" w:rsidP="0079712D">
      <w:pPr>
        <w:spacing w:after="0" w:line="240" w:lineRule="auto"/>
      </w:pPr>
      <w:r>
        <w:continuationSeparator/>
      </w:r>
    </w:p>
  </w:footnote>
  <w:footnote w:id="1">
    <w:p w14:paraId="0426C9C3" w14:textId="77777777" w:rsidR="007762BF" w:rsidRDefault="007762BF" w:rsidP="007762BF">
      <w:pPr>
        <w:pStyle w:val="Textonotapie"/>
        <w:jc w:val="both"/>
      </w:pPr>
      <w:r>
        <w:rPr>
          <w:rStyle w:val="Refdenotaalpie"/>
        </w:rPr>
        <w:footnoteRef/>
      </w:r>
      <w:r>
        <w:rPr>
          <w:rFonts w:ascii="Arial Narrow" w:hAnsi="Arial Narrow" w:cs="Arial"/>
          <w:sz w:val="16"/>
          <w:szCs w:val="16"/>
        </w:rPr>
        <w:t xml:space="preserve"> CORTE CONSTITUCIONAL. Sentencia C-379 del 27 de abril de 2004. Magistrado Ponente: Dr. ALFEDRO BELTRÁN SIERRA.</w:t>
      </w:r>
    </w:p>
  </w:footnote>
  <w:footnote w:id="2">
    <w:p w14:paraId="5F16FB94" w14:textId="77777777" w:rsidR="007762BF" w:rsidRDefault="007762BF" w:rsidP="007762BF">
      <w:pPr>
        <w:pStyle w:val="Textonotapie"/>
        <w:jc w:val="both"/>
      </w:pPr>
      <w:r>
        <w:rPr>
          <w:rStyle w:val="Refdenotaalpie"/>
        </w:rPr>
        <w:footnoteRef/>
      </w:r>
      <w:r>
        <w:rPr>
          <w:rFonts w:ascii="Arial Narrow" w:hAnsi="Arial Narrow" w:cs="Arial"/>
          <w:sz w:val="16"/>
          <w:szCs w:val="16"/>
        </w:rPr>
        <w:t xml:space="preserve"> CORTE ONSTITUCIONAL. Sentencia T-788 del 12 de noviembre de 2013. Magistrado Ponente: Dr. LUIS GUILLERMO GUERRERO PÉREZ.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6EE4"/>
    <w:multiLevelType w:val="multilevel"/>
    <w:tmpl w:val="E9B2FF4C"/>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6744968"/>
    <w:multiLevelType w:val="hybridMultilevel"/>
    <w:tmpl w:val="4D60E45A"/>
    <w:lvl w:ilvl="0" w:tplc="240A0009">
      <w:start w:val="1"/>
      <w:numFmt w:val="bullet"/>
      <w:lvlText w:val=""/>
      <w:lvlJc w:val="left"/>
      <w:pPr>
        <w:ind w:left="778" w:hanging="360"/>
      </w:pPr>
      <w:rPr>
        <w:rFonts w:ascii="Wingdings" w:hAnsi="Wingdings" w:hint="default"/>
      </w:rPr>
    </w:lvl>
    <w:lvl w:ilvl="1" w:tplc="240A0003" w:tentative="1">
      <w:start w:val="1"/>
      <w:numFmt w:val="bullet"/>
      <w:lvlText w:val="o"/>
      <w:lvlJc w:val="left"/>
      <w:pPr>
        <w:ind w:left="1498" w:hanging="360"/>
      </w:pPr>
      <w:rPr>
        <w:rFonts w:ascii="Courier New" w:hAnsi="Courier New" w:cs="Courier New" w:hint="default"/>
      </w:rPr>
    </w:lvl>
    <w:lvl w:ilvl="2" w:tplc="240A0005" w:tentative="1">
      <w:start w:val="1"/>
      <w:numFmt w:val="bullet"/>
      <w:lvlText w:val=""/>
      <w:lvlJc w:val="left"/>
      <w:pPr>
        <w:ind w:left="2218" w:hanging="360"/>
      </w:pPr>
      <w:rPr>
        <w:rFonts w:ascii="Wingdings" w:hAnsi="Wingdings" w:hint="default"/>
      </w:rPr>
    </w:lvl>
    <w:lvl w:ilvl="3" w:tplc="240A0001" w:tentative="1">
      <w:start w:val="1"/>
      <w:numFmt w:val="bullet"/>
      <w:lvlText w:val=""/>
      <w:lvlJc w:val="left"/>
      <w:pPr>
        <w:ind w:left="2938" w:hanging="360"/>
      </w:pPr>
      <w:rPr>
        <w:rFonts w:ascii="Symbol" w:hAnsi="Symbol" w:hint="default"/>
      </w:rPr>
    </w:lvl>
    <w:lvl w:ilvl="4" w:tplc="240A0003" w:tentative="1">
      <w:start w:val="1"/>
      <w:numFmt w:val="bullet"/>
      <w:lvlText w:val="o"/>
      <w:lvlJc w:val="left"/>
      <w:pPr>
        <w:ind w:left="3658" w:hanging="360"/>
      </w:pPr>
      <w:rPr>
        <w:rFonts w:ascii="Courier New" w:hAnsi="Courier New" w:cs="Courier New" w:hint="default"/>
      </w:rPr>
    </w:lvl>
    <w:lvl w:ilvl="5" w:tplc="240A0005" w:tentative="1">
      <w:start w:val="1"/>
      <w:numFmt w:val="bullet"/>
      <w:lvlText w:val=""/>
      <w:lvlJc w:val="left"/>
      <w:pPr>
        <w:ind w:left="4378" w:hanging="360"/>
      </w:pPr>
      <w:rPr>
        <w:rFonts w:ascii="Wingdings" w:hAnsi="Wingdings" w:hint="default"/>
      </w:rPr>
    </w:lvl>
    <w:lvl w:ilvl="6" w:tplc="240A0001" w:tentative="1">
      <w:start w:val="1"/>
      <w:numFmt w:val="bullet"/>
      <w:lvlText w:val=""/>
      <w:lvlJc w:val="left"/>
      <w:pPr>
        <w:ind w:left="5098" w:hanging="360"/>
      </w:pPr>
      <w:rPr>
        <w:rFonts w:ascii="Symbol" w:hAnsi="Symbol" w:hint="default"/>
      </w:rPr>
    </w:lvl>
    <w:lvl w:ilvl="7" w:tplc="240A0003" w:tentative="1">
      <w:start w:val="1"/>
      <w:numFmt w:val="bullet"/>
      <w:lvlText w:val="o"/>
      <w:lvlJc w:val="left"/>
      <w:pPr>
        <w:ind w:left="5818" w:hanging="360"/>
      </w:pPr>
      <w:rPr>
        <w:rFonts w:ascii="Courier New" w:hAnsi="Courier New" w:cs="Courier New" w:hint="default"/>
      </w:rPr>
    </w:lvl>
    <w:lvl w:ilvl="8" w:tplc="240A0005" w:tentative="1">
      <w:start w:val="1"/>
      <w:numFmt w:val="bullet"/>
      <w:lvlText w:val=""/>
      <w:lvlJc w:val="left"/>
      <w:pPr>
        <w:ind w:left="6538" w:hanging="360"/>
      </w:pPr>
      <w:rPr>
        <w:rFonts w:ascii="Wingdings" w:hAnsi="Wingdings" w:hint="default"/>
      </w:rPr>
    </w:lvl>
  </w:abstractNum>
  <w:abstractNum w:abstractNumId="2" w15:restartNumberingAfterBreak="0">
    <w:nsid w:val="067E4110"/>
    <w:multiLevelType w:val="hybridMultilevel"/>
    <w:tmpl w:val="FB22EFAC"/>
    <w:lvl w:ilvl="0" w:tplc="1B026436">
      <w:start w:val="1"/>
      <w:numFmt w:val="decimal"/>
      <w:lvlText w:val="%1."/>
      <w:lvlJc w:val="left"/>
      <w:pPr>
        <w:ind w:left="720" w:hanging="360"/>
      </w:pPr>
      <w:rPr>
        <w:rFonts w:ascii="Arial Narrow" w:hAnsi="Arial Narrow" w:hint="default"/>
        <w:b w:val="0"/>
        <w:bCs/>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9B65D2"/>
    <w:multiLevelType w:val="hybridMultilevel"/>
    <w:tmpl w:val="10886F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D3E3614"/>
    <w:multiLevelType w:val="hybridMultilevel"/>
    <w:tmpl w:val="A4F0FA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24B5515"/>
    <w:multiLevelType w:val="multilevel"/>
    <w:tmpl w:val="9CEC94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4D1278C"/>
    <w:multiLevelType w:val="hybridMultilevel"/>
    <w:tmpl w:val="684CBE9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0F73372"/>
    <w:multiLevelType w:val="hybridMultilevel"/>
    <w:tmpl w:val="0930D19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5A21104"/>
    <w:multiLevelType w:val="hybridMultilevel"/>
    <w:tmpl w:val="156C53CE"/>
    <w:lvl w:ilvl="0" w:tplc="240A000B">
      <w:start w:val="1"/>
      <w:numFmt w:val="bullet"/>
      <w:lvlText w:val=""/>
      <w:lvlJc w:val="left"/>
      <w:pPr>
        <w:ind w:left="928"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91F65AE"/>
    <w:multiLevelType w:val="hybridMultilevel"/>
    <w:tmpl w:val="0E5076DE"/>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4CF532D"/>
    <w:multiLevelType w:val="hybridMultilevel"/>
    <w:tmpl w:val="FB0E0248"/>
    <w:lvl w:ilvl="0" w:tplc="F48C596A">
      <w:start w:val="1"/>
      <w:numFmt w:val="decimal"/>
      <w:lvlText w:val="%1."/>
      <w:lvlJc w:val="left"/>
      <w:pPr>
        <w:ind w:left="720" w:hanging="360"/>
      </w:pPr>
      <w:rPr>
        <w:rFonts w:hint="default"/>
        <w:color w:val="auto"/>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1691DB9"/>
    <w:multiLevelType w:val="hybridMultilevel"/>
    <w:tmpl w:val="1724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B6658A4"/>
    <w:multiLevelType w:val="hybridMultilevel"/>
    <w:tmpl w:val="3806B552"/>
    <w:lvl w:ilvl="0" w:tplc="94226A08">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CFB7760"/>
    <w:multiLevelType w:val="hybridMultilevel"/>
    <w:tmpl w:val="18723A3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34411162">
    <w:abstractNumId w:val="3"/>
  </w:num>
  <w:num w:numId="2" w16cid:durableId="1310598554">
    <w:abstractNumId w:val="2"/>
  </w:num>
  <w:num w:numId="3" w16cid:durableId="1210220208">
    <w:abstractNumId w:val="10"/>
  </w:num>
  <w:num w:numId="4" w16cid:durableId="890728918">
    <w:abstractNumId w:val="13"/>
  </w:num>
  <w:num w:numId="5" w16cid:durableId="1900437325">
    <w:abstractNumId w:val="5"/>
  </w:num>
  <w:num w:numId="6" w16cid:durableId="1451046665">
    <w:abstractNumId w:val="11"/>
  </w:num>
  <w:num w:numId="7" w16cid:durableId="1178882061">
    <w:abstractNumId w:val="12"/>
  </w:num>
  <w:num w:numId="8" w16cid:durableId="605844231">
    <w:abstractNumId w:val="1"/>
  </w:num>
  <w:num w:numId="9" w16cid:durableId="770593145">
    <w:abstractNumId w:val="8"/>
  </w:num>
  <w:num w:numId="10" w16cid:durableId="624390389">
    <w:abstractNumId w:val="6"/>
  </w:num>
  <w:num w:numId="11" w16cid:durableId="1514301503">
    <w:abstractNumId w:val="0"/>
  </w:num>
  <w:num w:numId="12" w16cid:durableId="2123377122">
    <w:abstractNumId w:val="4"/>
  </w:num>
  <w:num w:numId="13" w16cid:durableId="577056172">
    <w:abstractNumId w:val="9"/>
  </w:num>
  <w:num w:numId="14" w16cid:durableId="15156064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470"/>
    <w:rsid w:val="0000085A"/>
    <w:rsid w:val="000072C2"/>
    <w:rsid w:val="00011D91"/>
    <w:rsid w:val="0002503D"/>
    <w:rsid w:val="0002675E"/>
    <w:rsid w:val="000411E6"/>
    <w:rsid w:val="00043315"/>
    <w:rsid w:val="0005395A"/>
    <w:rsid w:val="000545BE"/>
    <w:rsid w:val="000552E4"/>
    <w:rsid w:val="0006081B"/>
    <w:rsid w:val="00061865"/>
    <w:rsid w:val="0007222D"/>
    <w:rsid w:val="00074C80"/>
    <w:rsid w:val="000813CE"/>
    <w:rsid w:val="00084371"/>
    <w:rsid w:val="00086C94"/>
    <w:rsid w:val="000977AC"/>
    <w:rsid w:val="000A6AA4"/>
    <w:rsid w:val="000A7616"/>
    <w:rsid w:val="000B15E9"/>
    <w:rsid w:val="000B4C61"/>
    <w:rsid w:val="000C3382"/>
    <w:rsid w:val="000C52DF"/>
    <w:rsid w:val="000D15DA"/>
    <w:rsid w:val="000D285A"/>
    <w:rsid w:val="0010266B"/>
    <w:rsid w:val="0011426B"/>
    <w:rsid w:val="00117DC6"/>
    <w:rsid w:val="001337C4"/>
    <w:rsid w:val="0013524B"/>
    <w:rsid w:val="001408E2"/>
    <w:rsid w:val="00152E7E"/>
    <w:rsid w:val="00154544"/>
    <w:rsid w:val="00156F74"/>
    <w:rsid w:val="00174D8E"/>
    <w:rsid w:val="001763B2"/>
    <w:rsid w:val="00177D45"/>
    <w:rsid w:val="00177DC2"/>
    <w:rsid w:val="001902B6"/>
    <w:rsid w:val="001C35E9"/>
    <w:rsid w:val="001D4B1D"/>
    <w:rsid w:val="001E5C17"/>
    <w:rsid w:val="001F6936"/>
    <w:rsid w:val="00200B14"/>
    <w:rsid w:val="00205B83"/>
    <w:rsid w:val="00215C3B"/>
    <w:rsid w:val="002371ED"/>
    <w:rsid w:val="00250373"/>
    <w:rsid w:val="00254375"/>
    <w:rsid w:val="002550B2"/>
    <w:rsid w:val="00262FF6"/>
    <w:rsid w:val="0026311B"/>
    <w:rsid w:val="002772C7"/>
    <w:rsid w:val="002863B1"/>
    <w:rsid w:val="00286E58"/>
    <w:rsid w:val="00290343"/>
    <w:rsid w:val="002A1235"/>
    <w:rsid w:val="002A190B"/>
    <w:rsid w:val="002A6377"/>
    <w:rsid w:val="002B13D3"/>
    <w:rsid w:val="002C0C90"/>
    <w:rsid w:val="002C3F0F"/>
    <w:rsid w:val="002D2873"/>
    <w:rsid w:val="002F1F00"/>
    <w:rsid w:val="00303A69"/>
    <w:rsid w:val="00304FF2"/>
    <w:rsid w:val="003114BC"/>
    <w:rsid w:val="00317443"/>
    <w:rsid w:val="00323169"/>
    <w:rsid w:val="00324EAA"/>
    <w:rsid w:val="0033455A"/>
    <w:rsid w:val="003437BF"/>
    <w:rsid w:val="00356B34"/>
    <w:rsid w:val="003647AA"/>
    <w:rsid w:val="00366E9B"/>
    <w:rsid w:val="00367568"/>
    <w:rsid w:val="00370D4E"/>
    <w:rsid w:val="003755BE"/>
    <w:rsid w:val="0038128E"/>
    <w:rsid w:val="003832AD"/>
    <w:rsid w:val="00383D94"/>
    <w:rsid w:val="003943E2"/>
    <w:rsid w:val="003944FA"/>
    <w:rsid w:val="003B6EC4"/>
    <w:rsid w:val="003C165C"/>
    <w:rsid w:val="003E2B5D"/>
    <w:rsid w:val="003F46CC"/>
    <w:rsid w:val="003F78E7"/>
    <w:rsid w:val="00411D62"/>
    <w:rsid w:val="00425CAE"/>
    <w:rsid w:val="00433819"/>
    <w:rsid w:val="004404E4"/>
    <w:rsid w:val="004455D9"/>
    <w:rsid w:val="00450432"/>
    <w:rsid w:val="0045214F"/>
    <w:rsid w:val="00456599"/>
    <w:rsid w:val="004629DD"/>
    <w:rsid w:val="00475A85"/>
    <w:rsid w:val="00475C35"/>
    <w:rsid w:val="00482593"/>
    <w:rsid w:val="00483B75"/>
    <w:rsid w:val="004855EF"/>
    <w:rsid w:val="0049176B"/>
    <w:rsid w:val="004A2D45"/>
    <w:rsid w:val="004C5A4C"/>
    <w:rsid w:val="004C5BCF"/>
    <w:rsid w:val="004D3AAD"/>
    <w:rsid w:val="004D618C"/>
    <w:rsid w:val="004D7F80"/>
    <w:rsid w:val="00523963"/>
    <w:rsid w:val="005258F9"/>
    <w:rsid w:val="00532C3B"/>
    <w:rsid w:val="00562C0F"/>
    <w:rsid w:val="00563E80"/>
    <w:rsid w:val="005650C8"/>
    <w:rsid w:val="00567170"/>
    <w:rsid w:val="005819B4"/>
    <w:rsid w:val="00581C45"/>
    <w:rsid w:val="005839FB"/>
    <w:rsid w:val="00584CF2"/>
    <w:rsid w:val="00587431"/>
    <w:rsid w:val="00593320"/>
    <w:rsid w:val="00593C19"/>
    <w:rsid w:val="00597268"/>
    <w:rsid w:val="005B08C7"/>
    <w:rsid w:val="005B23E3"/>
    <w:rsid w:val="005B3BD6"/>
    <w:rsid w:val="005C06AA"/>
    <w:rsid w:val="005C5917"/>
    <w:rsid w:val="005C6DCA"/>
    <w:rsid w:val="005D6FD5"/>
    <w:rsid w:val="005E016F"/>
    <w:rsid w:val="005F181D"/>
    <w:rsid w:val="005F3083"/>
    <w:rsid w:val="005F35C6"/>
    <w:rsid w:val="005F505B"/>
    <w:rsid w:val="006012CC"/>
    <w:rsid w:val="00637901"/>
    <w:rsid w:val="00650864"/>
    <w:rsid w:val="006617A0"/>
    <w:rsid w:val="00661EC4"/>
    <w:rsid w:val="006655D7"/>
    <w:rsid w:val="00675076"/>
    <w:rsid w:val="00686EB7"/>
    <w:rsid w:val="006A1FB7"/>
    <w:rsid w:val="006A2666"/>
    <w:rsid w:val="006A595C"/>
    <w:rsid w:val="006B6E3D"/>
    <w:rsid w:val="006C4125"/>
    <w:rsid w:val="006C5D2B"/>
    <w:rsid w:val="006D63C5"/>
    <w:rsid w:val="006F3D6F"/>
    <w:rsid w:val="006F6459"/>
    <w:rsid w:val="006F68BE"/>
    <w:rsid w:val="00701191"/>
    <w:rsid w:val="00721D05"/>
    <w:rsid w:val="007263AF"/>
    <w:rsid w:val="00727F7D"/>
    <w:rsid w:val="00733457"/>
    <w:rsid w:val="00741D6B"/>
    <w:rsid w:val="007466E9"/>
    <w:rsid w:val="0075193F"/>
    <w:rsid w:val="007630BB"/>
    <w:rsid w:val="007762BF"/>
    <w:rsid w:val="007946B4"/>
    <w:rsid w:val="0079712D"/>
    <w:rsid w:val="007A764E"/>
    <w:rsid w:val="007C3176"/>
    <w:rsid w:val="007D2B77"/>
    <w:rsid w:val="007E464F"/>
    <w:rsid w:val="007E576B"/>
    <w:rsid w:val="00805746"/>
    <w:rsid w:val="00806F88"/>
    <w:rsid w:val="00822174"/>
    <w:rsid w:val="00822853"/>
    <w:rsid w:val="00836256"/>
    <w:rsid w:val="00841428"/>
    <w:rsid w:val="0085559B"/>
    <w:rsid w:val="00882191"/>
    <w:rsid w:val="00887C54"/>
    <w:rsid w:val="00892C22"/>
    <w:rsid w:val="008A191B"/>
    <w:rsid w:val="008D6EA2"/>
    <w:rsid w:val="008E119D"/>
    <w:rsid w:val="008E66AA"/>
    <w:rsid w:val="008F4034"/>
    <w:rsid w:val="009079C9"/>
    <w:rsid w:val="00921962"/>
    <w:rsid w:val="0093034D"/>
    <w:rsid w:val="00937CFF"/>
    <w:rsid w:val="00946516"/>
    <w:rsid w:val="00956D05"/>
    <w:rsid w:val="00956EE4"/>
    <w:rsid w:val="00970400"/>
    <w:rsid w:val="00982C3F"/>
    <w:rsid w:val="00991FAA"/>
    <w:rsid w:val="0099597D"/>
    <w:rsid w:val="009B31FA"/>
    <w:rsid w:val="009B5708"/>
    <w:rsid w:val="009C0474"/>
    <w:rsid w:val="009C602C"/>
    <w:rsid w:val="009D0481"/>
    <w:rsid w:val="009D3400"/>
    <w:rsid w:val="009D647F"/>
    <w:rsid w:val="009E032D"/>
    <w:rsid w:val="009F7B9E"/>
    <w:rsid w:val="00A03D15"/>
    <w:rsid w:val="00A134C9"/>
    <w:rsid w:val="00A217C7"/>
    <w:rsid w:val="00A41663"/>
    <w:rsid w:val="00A462DB"/>
    <w:rsid w:val="00A52640"/>
    <w:rsid w:val="00A63A91"/>
    <w:rsid w:val="00A67355"/>
    <w:rsid w:val="00A74FAE"/>
    <w:rsid w:val="00A806B4"/>
    <w:rsid w:val="00A86E38"/>
    <w:rsid w:val="00A918C6"/>
    <w:rsid w:val="00A92FD4"/>
    <w:rsid w:val="00A9344D"/>
    <w:rsid w:val="00AB58A2"/>
    <w:rsid w:val="00AC431F"/>
    <w:rsid w:val="00AC5DBA"/>
    <w:rsid w:val="00AD2D45"/>
    <w:rsid w:val="00AD660C"/>
    <w:rsid w:val="00AD7AC9"/>
    <w:rsid w:val="00AE6D41"/>
    <w:rsid w:val="00B00461"/>
    <w:rsid w:val="00B0768F"/>
    <w:rsid w:val="00B1276C"/>
    <w:rsid w:val="00B14097"/>
    <w:rsid w:val="00B174D8"/>
    <w:rsid w:val="00B246B6"/>
    <w:rsid w:val="00B25E5B"/>
    <w:rsid w:val="00B27E48"/>
    <w:rsid w:val="00B31188"/>
    <w:rsid w:val="00B32608"/>
    <w:rsid w:val="00B34464"/>
    <w:rsid w:val="00B464F5"/>
    <w:rsid w:val="00B53665"/>
    <w:rsid w:val="00B5771C"/>
    <w:rsid w:val="00B65A67"/>
    <w:rsid w:val="00B665B9"/>
    <w:rsid w:val="00B82CFF"/>
    <w:rsid w:val="00B938FD"/>
    <w:rsid w:val="00B95071"/>
    <w:rsid w:val="00BA0FF7"/>
    <w:rsid w:val="00BA1EDF"/>
    <w:rsid w:val="00BA6B52"/>
    <w:rsid w:val="00BB2404"/>
    <w:rsid w:val="00BB3CDB"/>
    <w:rsid w:val="00BB3F55"/>
    <w:rsid w:val="00BC07E9"/>
    <w:rsid w:val="00BC0BCF"/>
    <w:rsid w:val="00BC11B8"/>
    <w:rsid w:val="00BC78DF"/>
    <w:rsid w:val="00BD49A9"/>
    <w:rsid w:val="00BE0A47"/>
    <w:rsid w:val="00BE25FA"/>
    <w:rsid w:val="00BE42FE"/>
    <w:rsid w:val="00BF3A1F"/>
    <w:rsid w:val="00C014FC"/>
    <w:rsid w:val="00C17270"/>
    <w:rsid w:val="00C204FE"/>
    <w:rsid w:val="00C21189"/>
    <w:rsid w:val="00C2275E"/>
    <w:rsid w:val="00C43AEB"/>
    <w:rsid w:val="00C61EA6"/>
    <w:rsid w:val="00C638B2"/>
    <w:rsid w:val="00C63BAE"/>
    <w:rsid w:val="00C63DF2"/>
    <w:rsid w:val="00C64760"/>
    <w:rsid w:val="00C6702E"/>
    <w:rsid w:val="00C7163E"/>
    <w:rsid w:val="00C74810"/>
    <w:rsid w:val="00C872DD"/>
    <w:rsid w:val="00C912FA"/>
    <w:rsid w:val="00C9653A"/>
    <w:rsid w:val="00CB1FD1"/>
    <w:rsid w:val="00CC5284"/>
    <w:rsid w:val="00CD20DB"/>
    <w:rsid w:val="00CE2D96"/>
    <w:rsid w:val="00CF0FB3"/>
    <w:rsid w:val="00CF1430"/>
    <w:rsid w:val="00CF2835"/>
    <w:rsid w:val="00D00470"/>
    <w:rsid w:val="00D066B0"/>
    <w:rsid w:val="00D071DD"/>
    <w:rsid w:val="00D07A3D"/>
    <w:rsid w:val="00D128FC"/>
    <w:rsid w:val="00D17CDA"/>
    <w:rsid w:val="00D25E05"/>
    <w:rsid w:val="00D37322"/>
    <w:rsid w:val="00D40CA0"/>
    <w:rsid w:val="00D447E1"/>
    <w:rsid w:val="00D575EB"/>
    <w:rsid w:val="00D61508"/>
    <w:rsid w:val="00D72167"/>
    <w:rsid w:val="00D823D4"/>
    <w:rsid w:val="00D92CE5"/>
    <w:rsid w:val="00D9344F"/>
    <w:rsid w:val="00DA3DCF"/>
    <w:rsid w:val="00DC4F5C"/>
    <w:rsid w:val="00DC71B6"/>
    <w:rsid w:val="00DD409E"/>
    <w:rsid w:val="00DE0948"/>
    <w:rsid w:val="00DF0EF2"/>
    <w:rsid w:val="00DF4A6B"/>
    <w:rsid w:val="00E0117D"/>
    <w:rsid w:val="00E0196F"/>
    <w:rsid w:val="00E0224C"/>
    <w:rsid w:val="00E079E3"/>
    <w:rsid w:val="00E14319"/>
    <w:rsid w:val="00E2213A"/>
    <w:rsid w:val="00E319B6"/>
    <w:rsid w:val="00E4588A"/>
    <w:rsid w:val="00E70DA0"/>
    <w:rsid w:val="00E7778A"/>
    <w:rsid w:val="00E77C0C"/>
    <w:rsid w:val="00E9575B"/>
    <w:rsid w:val="00EA56CD"/>
    <w:rsid w:val="00EB1EAD"/>
    <w:rsid w:val="00EB2AE8"/>
    <w:rsid w:val="00EB3E45"/>
    <w:rsid w:val="00EB492C"/>
    <w:rsid w:val="00EC0765"/>
    <w:rsid w:val="00EC61A9"/>
    <w:rsid w:val="00EC7E29"/>
    <w:rsid w:val="00ED0A01"/>
    <w:rsid w:val="00ED61B3"/>
    <w:rsid w:val="00EE2A88"/>
    <w:rsid w:val="00EE466E"/>
    <w:rsid w:val="00EE7BD9"/>
    <w:rsid w:val="00F010FF"/>
    <w:rsid w:val="00F07E63"/>
    <w:rsid w:val="00F12637"/>
    <w:rsid w:val="00F556BF"/>
    <w:rsid w:val="00F65E41"/>
    <w:rsid w:val="00F66E7C"/>
    <w:rsid w:val="00F72FC6"/>
    <w:rsid w:val="00F737EA"/>
    <w:rsid w:val="00F76462"/>
    <w:rsid w:val="00F80CFC"/>
    <w:rsid w:val="00F82A26"/>
    <w:rsid w:val="00F870EA"/>
    <w:rsid w:val="00FB1AC3"/>
    <w:rsid w:val="00FC0362"/>
    <w:rsid w:val="00FC0C5A"/>
    <w:rsid w:val="00FC0CE7"/>
    <w:rsid w:val="00FC5912"/>
    <w:rsid w:val="00FC658C"/>
    <w:rsid w:val="00FD135F"/>
    <w:rsid w:val="00FD1E04"/>
    <w:rsid w:val="00FE2A0D"/>
    <w:rsid w:val="00FF0C5F"/>
    <w:rsid w:val="00FF25E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3C08D7"/>
  <w15:chartTrackingRefBased/>
  <w15:docId w15:val="{1DB24FDF-D7D8-4375-8FD9-A1F581130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0470"/>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00470"/>
    <w:pPr>
      <w:ind w:left="720"/>
      <w:contextualSpacing/>
    </w:pPr>
  </w:style>
  <w:style w:type="paragraph" w:styleId="NormalWeb">
    <w:name w:val="Normal (Web)"/>
    <w:basedOn w:val="Normal"/>
    <w:uiPriority w:val="99"/>
    <w:unhideWhenUsed/>
    <w:rsid w:val="00C912FA"/>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styleId="Hipervnculo">
    <w:name w:val="Hyperlink"/>
    <w:basedOn w:val="Fuentedeprrafopredeter"/>
    <w:uiPriority w:val="99"/>
    <w:unhideWhenUsed/>
    <w:rsid w:val="00C912FA"/>
    <w:rPr>
      <w:color w:val="0000FF"/>
      <w:u w:val="single"/>
    </w:rPr>
  </w:style>
  <w:style w:type="paragraph" w:customStyle="1" w:styleId="Standard">
    <w:name w:val="Standard"/>
    <w:rsid w:val="00D066B0"/>
    <w:pPr>
      <w:widowControl w:val="0"/>
      <w:suppressAutoHyphens/>
      <w:autoSpaceDN w:val="0"/>
      <w:spacing w:after="0" w:line="240" w:lineRule="auto"/>
      <w:textAlignment w:val="baseline"/>
    </w:pPr>
    <w:rPr>
      <w:rFonts w:ascii="Calibri" w:eastAsia="Linux Libertine G" w:hAnsi="Calibri" w:cs="Linux Libertine G"/>
      <w:sz w:val="24"/>
      <w:szCs w:val="24"/>
      <w:lang w:eastAsia="zh-CN" w:bidi="hi-IN"/>
    </w:rPr>
  </w:style>
  <w:style w:type="paragraph" w:styleId="Textonotapie">
    <w:name w:val="footnote text"/>
    <w:aliases w:val="FA Fu,Footnote Text Char,Footnote Text Char Char Char,Footnote Text Char Char Char Char,Footnote Text Char Char Char Char Char,Footnote Text Char Char Char Char Char Char Char Char,Footnote reference,Texto nota pie Ca,texto de nota al pie"/>
    <w:basedOn w:val="Normal"/>
    <w:link w:val="TextonotapieCar"/>
    <w:unhideWhenUsed/>
    <w:qFormat/>
    <w:rsid w:val="00A918C6"/>
    <w:pPr>
      <w:suppressAutoHyphens/>
      <w:autoSpaceDN w:val="0"/>
      <w:spacing w:after="0" w:line="240" w:lineRule="auto"/>
      <w:textAlignment w:val="baseline"/>
    </w:pPr>
    <w:rPr>
      <w:rFonts w:ascii="Calibri" w:eastAsia="Linux Libertine G" w:hAnsi="Calibri" w:cs="Mangal"/>
      <w:sz w:val="20"/>
      <w:szCs w:val="18"/>
      <w:lang w:val="es-CO" w:eastAsia="zh-CN" w:bidi="hi-IN"/>
    </w:rPr>
  </w:style>
  <w:style w:type="character" w:customStyle="1" w:styleId="TextonotapieCar">
    <w:name w:val="Texto nota pie Car"/>
    <w:aliases w:val="FA Fu Car,Footnote Text Char Car,Footnote Text Char Char Char Car,Footnote Text Char Char Char Char Car,Footnote Text Char Char Char Char Char Car,Footnote Text Char Char Char Char Char Char Char Char Car,Footnote reference Car"/>
    <w:basedOn w:val="Fuentedeprrafopredeter"/>
    <w:link w:val="Textonotapie"/>
    <w:uiPriority w:val="99"/>
    <w:rsid w:val="00A918C6"/>
    <w:rPr>
      <w:rFonts w:ascii="Calibri" w:eastAsia="Linux Libertine G" w:hAnsi="Calibri" w:cs="Mangal"/>
      <w:sz w:val="20"/>
      <w:szCs w:val="18"/>
      <w:lang w:eastAsia="zh-CN" w:bidi="hi-IN"/>
    </w:rPr>
  </w:style>
  <w:style w:type="character" w:styleId="Refdenotaalpie">
    <w:name w:val="footnote reference"/>
    <w:aliases w:val="4_G,Appel note de bas de page,F,FC,Nota de pie,Pie de P_,Pie de P_g,Pie de P_gin,Pie de Pàgina,Pie de Página,Ref. de nota al pie 2,Texto de nota al p,Texto de nota al pi,Texto de nota al pie,Texto nota al pie,f,referencia nota al pie"/>
    <w:basedOn w:val="Fuentedeprrafopredeter"/>
    <w:unhideWhenUsed/>
    <w:qFormat/>
    <w:rsid w:val="00A918C6"/>
    <w:rPr>
      <w:vertAlign w:val="superscript"/>
    </w:rPr>
  </w:style>
  <w:style w:type="character" w:customStyle="1" w:styleId="Sangra2detindependienteCar">
    <w:name w:val="Sangría 2 de t. independiente Car"/>
    <w:rsid w:val="00F870EA"/>
    <w:rPr>
      <w:rFonts w:ascii="Tahoma" w:hAnsi="Tahoma"/>
      <w:sz w:val="22"/>
      <w:szCs w:val="24"/>
      <w:lang w:val="es-ES" w:eastAsia="es-ES" w:bidi="ar-SA"/>
    </w:rPr>
  </w:style>
  <w:style w:type="character" w:customStyle="1" w:styleId="eop">
    <w:name w:val="eop"/>
    <w:basedOn w:val="Fuentedeprrafopredeter"/>
    <w:rsid w:val="005F505B"/>
  </w:style>
  <w:style w:type="paragraph" w:styleId="Textoindependiente2">
    <w:name w:val="Body Text 2"/>
    <w:basedOn w:val="Normal"/>
    <w:link w:val="Textoindependiente2Car"/>
    <w:rsid w:val="00806F88"/>
    <w:pPr>
      <w:suppressAutoHyphens/>
      <w:autoSpaceDN w:val="0"/>
      <w:spacing w:after="120" w:line="480" w:lineRule="auto"/>
      <w:textAlignment w:val="baseline"/>
    </w:pPr>
    <w:rPr>
      <w:rFonts w:ascii="Calibri" w:eastAsia="Linux Libertine G" w:hAnsi="Calibri" w:cs="Mangal"/>
      <w:sz w:val="24"/>
      <w:szCs w:val="21"/>
      <w:lang w:val="es-CO" w:eastAsia="zh-CN" w:bidi="hi-IN"/>
    </w:rPr>
  </w:style>
  <w:style w:type="character" w:customStyle="1" w:styleId="Textoindependiente2Car">
    <w:name w:val="Texto independiente 2 Car"/>
    <w:basedOn w:val="Fuentedeprrafopredeter"/>
    <w:link w:val="Textoindependiente2"/>
    <w:rsid w:val="00806F88"/>
    <w:rPr>
      <w:rFonts w:ascii="Calibri" w:eastAsia="Linux Libertine G" w:hAnsi="Calibri" w:cs="Mangal"/>
      <w:sz w:val="24"/>
      <w:szCs w:val="21"/>
      <w:lang w:eastAsia="zh-CN" w:bidi="hi-IN"/>
    </w:rPr>
  </w:style>
  <w:style w:type="paragraph" w:styleId="Sinespaciado">
    <w:name w:val="No Spacing"/>
    <w:rsid w:val="00FF0C5F"/>
    <w:pPr>
      <w:autoSpaceDN w:val="0"/>
      <w:spacing w:after="0" w:line="240" w:lineRule="auto"/>
    </w:pPr>
    <w:rPr>
      <w:rFonts w:ascii="Calibri" w:eastAsia="Times New Roman" w:hAnsi="Calibri" w:cs="Times New Roman"/>
      <w:lang w:eastAsia="es-CO"/>
    </w:rPr>
  </w:style>
  <w:style w:type="character" w:styleId="Mencinsinresolver">
    <w:name w:val="Unresolved Mention"/>
    <w:basedOn w:val="Fuentedeprrafopredeter"/>
    <w:uiPriority w:val="99"/>
    <w:semiHidden/>
    <w:unhideWhenUsed/>
    <w:rsid w:val="00EB492C"/>
    <w:rPr>
      <w:color w:val="605E5C"/>
      <w:shd w:val="clear" w:color="auto" w:fill="E1DFDD"/>
    </w:rPr>
  </w:style>
  <w:style w:type="character" w:customStyle="1" w:styleId="ui-provider">
    <w:name w:val="ui-provider"/>
    <w:basedOn w:val="Fuentedeprrafopredeter"/>
    <w:rsid w:val="00EB492C"/>
  </w:style>
  <w:style w:type="paragraph" w:styleId="Encabezado">
    <w:name w:val="header"/>
    <w:basedOn w:val="Normal"/>
    <w:link w:val="EncabezadoCar"/>
    <w:uiPriority w:val="99"/>
    <w:unhideWhenUsed/>
    <w:rsid w:val="00215C3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15C3B"/>
    <w:rPr>
      <w:lang w:val="es-ES"/>
    </w:rPr>
  </w:style>
  <w:style w:type="paragraph" w:styleId="Piedepgina">
    <w:name w:val="footer"/>
    <w:basedOn w:val="Normal"/>
    <w:link w:val="PiedepginaCar"/>
    <w:uiPriority w:val="99"/>
    <w:unhideWhenUsed/>
    <w:rsid w:val="00215C3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15C3B"/>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598485">
      <w:bodyDiv w:val="1"/>
      <w:marLeft w:val="0"/>
      <w:marRight w:val="0"/>
      <w:marTop w:val="0"/>
      <w:marBottom w:val="0"/>
      <w:divBdr>
        <w:top w:val="none" w:sz="0" w:space="0" w:color="auto"/>
        <w:left w:val="none" w:sz="0" w:space="0" w:color="auto"/>
        <w:bottom w:val="none" w:sz="0" w:space="0" w:color="auto"/>
        <w:right w:val="none" w:sz="0" w:space="0" w:color="auto"/>
      </w:divBdr>
    </w:div>
    <w:div w:id="426657574">
      <w:bodyDiv w:val="1"/>
      <w:marLeft w:val="0"/>
      <w:marRight w:val="0"/>
      <w:marTop w:val="0"/>
      <w:marBottom w:val="0"/>
      <w:divBdr>
        <w:top w:val="none" w:sz="0" w:space="0" w:color="auto"/>
        <w:left w:val="none" w:sz="0" w:space="0" w:color="auto"/>
        <w:bottom w:val="none" w:sz="0" w:space="0" w:color="auto"/>
        <w:right w:val="none" w:sz="0" w:space="0" w:color="auto"/>
      </w:divBdr>
    </w:div>
    <w:div w:id="482964534">
      <w:bodyDiv w:val="1"/>
      <w:marLeft w:val="0"/>
      <w:marRight w:val="0"/>
      <w:marTop w:val="0"/>
      <w:marBottom w:val="0"/>
      <w:divBdr>
        <w:top w:val="none" w:sz="0" w:space="0" w:color="auto"/>
        <w:left w:val="none" w:sz="0" w:space="0" w:color="auto"/>
        <w:bottom w:val="none" w:sz="0" w:space="0" w:color="auto"/>
        <w:right w:val="none" w:sz="0" w:space="0" w:color="auto"/>
      </w:divBdr>
    </w:div>
    <w:div w:id="539823540">
      <w:bodyDiv w:val="1"/>
      <w:marLeft w:val="0"/>
      <w:marRight w:val="0"/>
      <w:marTop w:val="0"/>
      <w:marBottom w:val="0"/>
      <w:divBdr>
        <w:top w:val="none" w:sz="0" w:space="0" w:color="auto"/>
        <w:left w:val="none" w:sz="0" w:space="0" w:color="auto"/>
        <w:bottom w:val="none" w:sz="0" w:space="0" w:color="auto"/>
        <w:right w:val="none" w:sz="0" w:space="0" w:color="auto"/>
      </w:divBdr>
    </w:div>
    <w:div w:id="849562031">
      <w:bodyDiv w:val="1"/>
      <w:marLeft w:val="0"/>
      <w:marRight w:val="0"/>
      <w:marTop w:val="0"/>
      <w:marBottom w:val="0"/>
      <w:divBdr>
        <w:top w:val="none" w:sz="0" w:space="0" w:color="auto"/>
        <w:left w:val="none" w:sz="0" w:space="0" w:color="auto"/>
        <w:bottom w:val="none" w:sz="0" w:space="0" w:color="auto"/>
        <w:right w:val="none" w:sz="0" w:space="0" w:color="auto"/>
      </w:divBdr>
    </w:div>
    <w:div w:id="860976983">
      <w:bodyDiv w:val="1"/>
      <w:marLeft w:val="0"/>
      <w:marRight w:val="0"/>
      <w:marTop w:val="0"/>
      <w:marBottom w:val="0"/>
      <w:divBdr>
        <w:top w:val="none" w:sz="0" w:space="0" w:color="auto"/>
        <w:left w:val="none" w:sz="0" w:space="0" w:color="auto"/>
        <w:bottom w:val="none" w:sz="0" w:space="0" w:color="auto"/>
        <w:right w:val="none" w:sz="0" w:space="0" w:color="auto"/>
      </w:divBdr>
    </w:div>
    <w:div w:id="890385426">
      <w:bodyDiv w:val="1"/>
      <w:marLeft w:val="0"/>
      <w:marRight w:val="0"/>
      <w:marTop w:val="0"/>
      <w:marBottom w:val="0"/>
      <w:divBdr>
        <w:top w:val="none" w:sz="0" w:space="0" w:color="auto"/>
        <w:left w:val="none" w:sz="0" w:space="0" w:color="auto"/>
        <w:bottom w:val="none" w:sz="0" w:space="0" w:color="auto"/>
        <w:right w:val="none" w:sz="0" w:space="0" w:color="auto"/>
      </w:divBdr>
    </w:div>
    <w:div w:id="967127085">
      <w:bodyDiv w:val="1"/>
      <w:marLeft w:val="0"/>
      <w:marRight w:val="0"/>
      <w:marTop w:val="0"/>
      <w:marBottom w:val="0"/>
      <w:divBdr>
        <w:top w:val="none" w:sz="0" w:space="0" w:color="auto"/>
        <w:left w:val="none" w:sz="0" w:space="0" w:color="auto"/>
        <w:bottom w:val="none" w:sz="0" w:space="0" w:color="auto"/>
        <w:right w:val="none" w:sz="0" w:space="0" w:color="auto"/>
      </w:divBdr>
    </w:div>
    <w:div w:id="981811429">
      <w:bodyDiv w:val="1"/>
      <w:marLeft w:val="0"/>
      <w:marRight w:val="0"/>
      <w:marTop w:val="0"/>
      <w:marBottom w:val="0"/>
      <w:divBdr>
        <w:top w:val="none" w:sz="0" w:space="0" w:color="auto"/>
        <w:left w:val="none" w:sz="0" w:space="0" w:color="auto"/>
        <w:bottom w:val="none" w:sz="0" w:space="0" w:color="auto"/>
        <w:right w:val="none" w:sz="0" w:space="0" w:color="auto"/>
      </w:divBdr>
    </w:div>
    <w:div w:id="1066992925">
      <w:bodyDiv w:val="1"/>
      <w:marLeft w:val="0"/>
      <w:marRight w:val="0"/>
      <w:marTop w:val="0"/>
      <w:marBottom w:val="0"/>
      <w:divBdr>
        <w:top w:val="none" w:sz="0" w:space="0" w:color="auto"/>
        <w:left w:val="none" w:sz="0" w:space="0" w:color="auto"/>
        <w:bottom w:val="none" w:sz="0" w:space="0" w:color="auto"/>
        <w:right w:val="none" w:sz="0" w:space="0" w:color="auto"/>
      </w:divBdr>
    </w:div>
    <w:div w:id="1100494950">
      <w:bodyDiv w:val="1"/>
      <w:marLeft w:val="0"/>
      <w:marRight w:val="0"/>
      <w:marTop w:val="0"/>
      <w:marBottom w:val="0"/>
      <w:divBdr>
        <w:top w:val="none" w:sz="0" w:space="0" w:color="auto"/>
        <w:left w:val="none" w:sz="0" w:space="0" w:color="auto"/>
        <w:bottom w:val="none" w:sz="0" w:space="0" w:color="auto"/>
        <w:right w:val="none" w:sz="0" w:space="0" w:color="auto"/>
      </w:divBdr>
    </w:div>
    <w:div w:id="1105468132">
      <w:bodyDiv w:val="1"/>
      <w:marLeft w:val="0"/>
      <w:marRight w:val="0"/>
      <w:marTop w:val="0"/>
      <w:marBottom w:val="0"/>
      <w:divBdr>
        <w:top w:val="none" w:sz="0" w:space="0" w:color="auto"/>
        <w:left w:val="none" w:sz="0" w:space="0" w:color="auto"/>
        <w:bottom w:val="none" w:sz="0" w:space="0" w:color="auto"/>
        <w:right w:val="none" w:sz="0" w:space="0" w:color="auto"/>
      </w:divBdr>
    </w:div>
    <w:div w:id="1215431159">
      <w:bodyDiv w:val="1"/>
      <w:marLeft w:val="0"/>
      <w:marRight w:val="0"/>
      <w:marTop w:val="0"/>
      <w:marBottom w:val="0"/>
      <w:divBdr>
        <w:top w:val="none" w:sz="0" w:space="0" w:color="auto"/>
        <w:left w:val="none" w:sz="0" w:space="0" w:color="auto"/>
        <w:bottom w:val="none" w:sz="0" w:space="0" w:color="auto"/>
        <w:right w:val="none" w:sz="0" w:space="0" w:color="auto"/>
      </w:divBdr>
    </w:div>
    <w:div w:id="1322463455">
      <w:bodyDiv w:val="1"/>
      <w:marLeft w:val="0"/>
      <w:marRight w:val="0"/>
      <w:marTop w:val="0"/>
      <w:marBottom w:val="0"/>
      <w:divBdr>
        <w:top w:val="none" w:sz="0" w:space="0" w:color="auto"/>
        <w:left w:val="none" w:sz="0" w:space="0" w:color="auto"/>
        <w:bottom w:val="none" w:sz="0" w:space="0" w:color="auto"/>
        <w:right w:val="none" w:sz="0" w:space="0" w:color="auto"/>
      </w:divBdr>
    </w:div>
    <w:div w:id="1483698306">
      <w:bodyDiv w:val="1"/>
      <w:marLeft w:val="0"/>
      <w:marRight w:val="0"/>
      <w:marTop w:val="0"/>
      <w:marBottom w:val="0"/>
      <w:divBdr>
        <w:top w:val="none" w:sz="0" w:space="0" w:color="auto"/>
        <w:left w:val="none" w:sz="0" w:space="0" w:color="auto"/>
        <w:bottom w:val="none" w:sz="0" w:space="0" w:color="auto"/>
        <w:right w:val="none" w:sz="0" w:space="0" w:color="auto"/>
      </w:divBdr>
    </w:div>
    <w:div w:id="1570924253">
      <w:bodyDiv w:val="1"/>
      <w:marLeft w:val="0"/>
      <w:marRight w:val="0"/>
      <w:marTop w:val="0"/>
      <w:marBottom w:val="0"/>
      <w:divBdr>
        <w:top w:val="none" w:sz="0" w:space="0" w:color="auto"/>
        <w:left w:val="none" w:sz="0" w:space="0" w:color="auto"/>
        <w:bottom w:val="none" w:sz="0" w:space="0" w:color="auto"/>
        <w:right w:val="none" w:sz="0" w:space="0" w:color="auto"/>
      </w:divBdr>
    </w:div>
    <w:div w:id="1585725298">
      <w:bodyDiv w:val="1"/>
      <w:marLeft w:val="0"/>
      <w:marRight w:val="0"/>
      <w:marTop w:val="0"/>
      <w:marBottom w:val="0"/>
      <w:divBdr>
        <w:top w:val="none" w:sz="0" w:space="0" w:color="auto"/>
        <w:left w:val="none" w:sz="0" w:space="0" w:color="auto"/>
        <w:bottom w:val="none" w:sz="0" w:space="0" w:color="auto"/>
        <w:right w:val="none" w:sz="0" w:space="0" w:color="auto"/>
      </w:divBdr>
    </w:div>
    <w:div w:id="1611207083">
      <w:bodyDiv w:val="1"/>
      <w:marLeft w:val="0"/>
      <w:marRight w:val="0"/>
      <w:marTop w:val="0"/>
      <w:marBottom w:val="0"/>
      <w:divBdr>
        <w:top w:val="none" w:sz="0" w:space="0" w:color="auto"/>
        <w:left w:val="none" w:sz="0" w:space="0" w:color="auto"/>
        <w:bottom w:val="none" w:sz="0" w:space="0" w:color="auto"/>
        <w:right w:val="none" w:sz="0" w:space="0" w:color="auto"/>
      </w:divBdr>
      <w:divsChild>
        <w:div w:id="1417239888">
          <w:marLeft w:val="0"/>
          <w:marRight w:val="0"/>
          <w:marTop w:val="0"/>
          <w:marBottom w:val="0"/>
          <w:divBdr>
            <w:top w:val="none" w:sz="0" w:space="0" w:color="auto"/>
            <w:left w:val="none" w:sz="0" w:space="0" w:color="auto"/>
            <w:bottom w:val="none" w:sz="0" w:space="0" w:color="auto"/>
            <w:right w:val="none" w:sz="0" w:space="0" w:color="auto"/>
          </w:divBdr>
          <w:divsChild>
            <w:div w:id="209416489">
              <w:marLeft w:val="0"/>
              <w:marRight w:val="0"/>
              <w:marTop w:val="0"/>
              <w:marBottom w:val="0"/>
              <w:divBdr>
                <w:top w:val="none" w:sz="0" w:space="0" w:color="auto"/>
                <w:left w:val="none" w:sz="0" w:space="0" w:color="auto"/>
                <w:bottom w:val="none" w:sz="0" w:space="0" w:color="auto"/>
                <w:right w:val="none" w:sz="0" w:space="0" w:color="auto"/>
              </w:divBdr>
              <w:divsChild>
                <w:div w:id="572857056">
                  <w:marLeft w:val="0"/>
                  <w:marRight w:val="0"/>
                  <w:marTop w:val="0"/>
                  <w:marBottom w:val="0"/>
                  <w:divBdr>
                    <w:top w:val="none" w:sz="0" w:space="0" w:color="auto"/>
                    <w:left w:val="none" w:sz="0" w:space="0" w:color="auto"/>
                    <w:bottom w:val="none" w:sz="0" w:space="0" w:color="auto"/>
                    <w:right w:val="none" w:sz="0" w:space="0" w:color="auto"/>
                  </w:divBdr>
                  <w:divsChild>
                    <w:div w:id="416053374">
                      <w:marLeft w:val="0"/>
                      <w:marRight w:val="0"/>
                      <w:marTop w:val="0"/>
                      <w:marBottom w:val="0"/>
                      <w:divBdr>
                        <w:top w:val="none" w:sz="0" w:space="0" w:color="auto"/>
                        <w:left w:val="none" w:sz="0" w:space="0" w:color="auto"/>
                        <w:bottom w:val="none" w:sz="0" w:space="0" w:color="auto"/>
                        <w:right w:val="none" w:sz="0" w:space="0" w:color="auto"/>
                      </w:divBdr>
                      <w:divsChild>
                        <w:div w:id="102197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5348723">
      <w:bodyDiv w:val="1"/>
      <w:marLeft w:val="0"/>
      <w:marRight w:val="0"/>
      <w:marTop w:val="0"/>
      <w:marBottom w:val="0"/>
      <w:divBdr>
        <w:top w:val="none" w:sz="0" w:space="0" w:color="auto"/>
        <w:left w:val="none" w:sz="0" w:space="0" w:color="auto"/>
        <w:bottom w:val="none" w:sz="0" w:space="0" w:color="auto"/>
        <w:right w:val="none" w:sz="0" w:space="0" w:color="auto"/>
      </w:divBdr>
    </w:div>
    <w:div w:id="2124491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228C8-369F-4552-81E4-B96AD0BD6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Pages>
  <Words>1931</Words>
  <Characters>10622</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Angélica Maria Simancas Robles</dc:creator>
  <cp:keywords/>
  <dc:description/>
  <cp:lastModifiedBy>Lina Maria Malagon Rubio</cp:lastModifiedBy>
  <cp:revision>16</cp:revision>
  <dcterms:created xsi:type="dcterms:W3CDTF">2025-11-12T21:35:00Z</dcterms:created>
  <dcterms:modified xsi:type="dcterms:W3CDTF">2025-11-13T13:37:00Z</dcterms:modified>
</cp:coreProperties>
</file>